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3F1BE">
      <w:pPr>
        <w:pStyle w:val="2"/>
        <w:rPr>
          <w:rFonts w:ascii="宋体" w:hAnsi="宋体" w:eastAsia="宋体" w:cs="宋体"/>
          <w:color w:val="auto"/>
          <w:highlight w:val="none"/>
        </w:rPr>
      </w:pPr>
    </w:p>
    <w:p w14:paraId="01FC6B3F">
      <w:pPr>
        <w:rPr>
          <w:rFonts w:ascii="宋体" w:hAnsi="宋体" w:cs="宋体"/>
          <w:color w:val="auto"/>
          <w:highlight w:val="none"/>
        </w:rPr>
      </w:pPr>
    </w:p>
    <w:p w14:paraId="4784E3CE">
      <w:pPr>
        <w:pStyle w:val="2"/>
        <w:rPr>
          <w:rFonts w:ascii="宋体" w:hAnsi="宋体" w:eastAsia="宋体" w:cs="宋体"/>
          <w:color w:val="auto"/>
          <w:highlight w:val="none"/>
        </w:rPr>
      </w:pPr>
    </w:p>
    <w:p w14:paraId="1E30D3CD">
      <w:pPr>
        <w:rPr>
          <w:rFonts w:ascii="宋体" w:hAnsi="宋体" w:cs="宋体"/>
          <w:color w:val="auto"/>
          <w:highlight w:val="none"/>
        </w:rPr>
      </w:pPr>
    </w:p>
    <w:p w14:paraId="0C990548">
      <w:pPr>
        <w:jc w:val="center"/>
        <w:rPr>
          <w:rFonts w:ascii="宋体" w:hAnsi="宋体" w:cs="宋体"/>
          <w:color w:val="auto"/>
          <w:highlight w:val="none"/>
        </w:rPr>
      </w:pPr>
    </w:p>
    <w:p w14:paraId="0AA31039">
      <w:pPr>
        <w:jc w:val="center"/>
        <w:outlineLvl w:val="0"/>
        <w:rPr>
          <w:rFonts w:ascii="宋体" w:hAnsi="宋体" w:cs="宋体"/>
          <w:color w:val="auto"/>
          <w:sz w:val="44"/>
          <w:szCs w:val="44"/>
          <w:highlight w:val="none"/>
        </w:rPr>
      </w:pPr>
    </w:p>
    <w:p w14:paraId="29F5DBDB">
      <w:pPr>
        <w:spacing w:line="1600" w:lineRule="exact"/>
        <w:jc w:val="center"/>
        <w:outlineLvl w:val="0"/>
        <w:rPr>
          <w:rFonts w:ascii="宋体" w:hAnsi="宋体" w:cs="宋体"/>
          <w:color w:val="auto"/>
          <w:sz w:val="112"/>
          <w:szCs w:val="112"/>
          <w:highlight w:val="none"/>
        </w:rPr>
      </w:pPr>
      <w:r>
        <w:rPr>
          <w:rFonts w:hint="eastAsia" w:ascii="宋体" w:hAnsi="宋体" w:cs="宋体"/>
          <w:color w:val="auto"/>
          <w:sz w:val="112"/>
          <w:szCs w:val="112"/>
          <w:highlight w:val="none"/>
        </w:rPr>
        <w:t>竞争性磋商文件</w:t>
      </w:r>
    </w:p>
    <w:p w14:paraId="4F517A7A">
      <w:pPr>
        <w:spacing w:line="700" w:lineRule="exact"/>
        <w:jc w:val="center"/>
        <w:rPr>
          <w:rFonts w:ascii="宋体" w:hAnsi="宋体" w:cs="宋体"/>
          <w:color w:val="auto"/>
          <w:sz w:val="32"/>
          <w:highlight w:val="none"/>
        </w:rPr>
      </w:pPr>
    </w:p>
    <w:p w14:paraId="6B31D608">
      <w:pPr>
        <w:spacing w:line="700" w:lineRule="exact"/>
        <w:rPr>
          <w:rFonts w:ascii="宋体" w:hAnsi="宋体" w:cs="宋体"/>
          <w:color w:val="auto"/>
          <w:sz w:val="32"/>
          <w:highlight w:val="none"/>
        </w:rPr>
      </w:pPr>
    </w:p>
    <w:p w14:paraId="68C214FB">
      <w:pPr>
        <w:spacing w:line="700" w:lineRule="exact"/>
        <w:jc w:val="center"/>
        <w:rPr>
          <w:rFonts w:ascii="宋体" w:hAnsi="宋体" w:cs="宋体"/>
          <w:color w:val="auto"/>
          <w:sz w:val="32"/>
          <w:highlight w:val="none"/>
        </w:rPr>
      </w:pPr>
    </w:p>
    <w:p w14:paraId="1AB80B46">
      <w:pPr>
        <w:spacing w:line="800" w:lineRule="exact"/>
        <w:ind w:firstLine="1200" w:firstLineChars="400"/>
        <w:outlineLvl w:val="0"/>
        <w:rPr>
          <w:rFonts w:hint="eastAsia" w:ascii="宋体" w:hAnsi="宋体" w:eastAsia="宋体" w:cs="宋体"/>
          <w:color w:val="auto"/>
          <w:sz w:val="30"/>
          <w:szCs w:val="30"/>
          <w:highlight w:val="none"/>
        </w:rPr>
      </w:pPr>
      <w:r>
        <w:rPr>
          <w:rFonts w:hint="eastAsia" w:ascii="宋体" w:hAnsi="宋体" w:cs="宋体"/>
          <w:color w:val="auto"/>
          <w:sz w:val="30"/>
          <w:szCs w:val="30"/>
          <w:highlight w:val="none"/>
        </w:rPr>
        <w:t xml:space="preserve">项   </w:t>
      </w:r>
      <w:r>
        <w:rPr>
          <w:rFonts w:hint="eastAsia" w:ascii="宋体" w:hAnsi="宋体" w:eastAsia="宋体" w:cs="宋体"/>
          <w:color w:val="auto"/>
          <w:sz w:val="30"/>
          <w:szCs w:val="30"/>
          <w:highlight w:val="none"/>
        </w:rPr>
        <w:t>目   号：</w:t>
      </w:r>
      <w:r>
        <w:rPr>
          <w:rFonts w:hint="eastAsia" w:ascii="宋体" w:hAnsi="宋体" w:cs="宋体"/>
          <w:color w:val="auto"/>
          <w:sz w:val="30"/>
          <w:szCs w:val="30"/>
          <w:highlight w:val="none"/>
        </w:rPr>
        <w:t>PG-WXDZ202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-0</w:t>
      </w:r>
      <w:r>
        <w:rPr>
          <w:rFonts w:hint="eastAsia" w:ascii="宋体" w:hAnsi="宋体" w:cs="宋体"/>
          <w:color w:val="auto"/>
          <w:sz w:val="30"/>
          <w:szCs w:val="30"/>
          <w:highlight w:val="none"/>
          <w:lang w:val="en-US" w:eastAsia="zh-CN"/>
        </w:rPr>
        <w:t>13</w:t>
      </w:r>
    </w:p>
    <w:p w14:paraId="44DD0BF4">
      <w:pPr>
        <w:spacing w:line="800" w:lineRule="exact"/>
        <w:ind w:left="3234" w:leftChars="540" w:hanging="2100" w:hangingChars="700"/>
        <w:outlineLvl w:val="0"/>
        <w:rPr>
          <w:rFonts w:ascii="宋体" w:hAnsi="宋体" w:cs="宋体"/>
          <w:color w:val="auto"/>
          <w:sz w:val="30"/>
          <w:szCs w:val="30"/>
          <w:highlight w:val="none"/>
        </w:rPr>
      </w:pPr>
      <w:r>
        <w:rPr>
          <w:rFonts w:hint="eastAsia" w:ascii="宋体" w:hAnsi="宋体" w:cs="宋体"/>
          <w:color w:val="auto"/>
          <w:sz w:val="30"/>
          <w:szCs w:val="30"/>
          <w:highlight w:val="none"/>
        </w:rPr>
        <w:t>磋商项目名称：频谱地图技术服务</w:t>
      </w:r>
    </w:p>
    <w:p w14:paraId="23BF8179">
      <w:pPr>
        <w:spacing w:line="600" w:lineRule="exact"/>
        <w:rPr>
          <w:rFonts w:ascii="宋体" w:hAnsi="宋体" w:cs="宋体"/>
          <w:color w:val="auto"/>
          <w:sz w:val="30"/>
          <w:szCs w:val="30"/>
          <w:highlight w:val="none"/>
        </w:rPr>
      </w:pPr>
    </w:p>
    <w:p w14:paraId="3D6A5B26">
      <w:pPr>
        <w:pStyle w:val="2"/>
        <w:spacing w:line="600" w:lineRule="exact"/>
        <w:rPr>
          <w:rFonts w:ascii="宋体" w:hAnsi="宋体" w:eastAsia="宋体" w:cs="宋体"/>
          <w:b/>
          <w:color w:val="auto"/>
          <w:sz w:val="30"/>
          <w:szCs w:val="30"/>
          <w:highlight w:val="none"/>
        </w:rPr>
      </w:pPr>
    </w:p>
    <w:p w14:paraId="4DF8CB17">
      <w:pPr>
        <w:spacing w:line="800" w:lineRule="exact"/>
        <w:ind w:firstLine="1200" w:firstLineChars="400"/>
        <w:outlineLvl w:val="0"/>
        <w:rPr>
          <w:rFonts w:ascii="宋体" w:hAnsi="宋体" w:cs="宋体"/>
          <w:color w:val="auto"/>
          <w:sz w:val="30"/>
          <w:szCs w:val="30"/>
          <w:highlight w:val="none"/>
        </w:rPr>
      </w:pPr>
      <w:r>
        <w:rPr>
          <w:rFonts w:hint="eastAsia" w:ascii="宋体" w:hAnsi="宋体" w:cs="宋体"/>
          <w:color w:val="auto"/>
          <w:sz w:val="30"/>
          <w:szCs w:val="30"/>
          <w:highlight w:val="none"/>
        </w:rPr>
        <w:t xml:space="preserve">采   购   人：重庆市无线电监测站 </w:t>
      </w:r>
    </w:p>
    <w:p w14:paraId="5B28D2A5">
      <w:pPr>
        <w:spacing w:line="800" w:lineRule="exact"/>
        <w:ind w:firstLine="1200" w:firstLineChars="400"/>
        <w:outlineLvl w:val="0"/>
        <w:rPr>
          <w:rFonts w:ascii="宋体" w:hAnsi="宋体" w:cs="宋体"/>
          <w:color w:val="auto"/>
          <w:sz w:val="32"/>
          <w:szCs w:val="32"/>
          <w:highlight w:val="none"/>
        </w:rPr>
      </w:pPr>
      <w:r>
        <w:rPr>
          <w:rFonts w:hint="eastAsia" w:ascii="宋体" w:hAnsi="宋体" w:cs="宋体"/>
          <w:color w:val="auto"/>
          <w:sz w:val="30"/>
          <w:szCs w:val="30"/>
          <w:highlight w:val="none"/>
        </w:rPr>
        <w:t>采购代理机构：攀钢集团工科工程咨询有限公司</w:t>
      </w:r>
    </w:p>
    <w:p w14:paraId="521FEC52">
      <w:pPr>
        <w:spacing w:line="800" w:lineRule="exact"/>
        <w:jc w:val="center"/>
        <w:outlineLvl w:val="0"/>
        <w:rPr>
          <w:rFonts w:ascii="宋体" w:hAnsi="宋体" w:cs="宋体"/>
          <w:color w:val="auto"/>
          <w:sz w:val="32"/>
          <w:szCs w:val="32"/>
          <w:highlight w:val="none"/>
        </w:rPr>
      </w:pPr>
    </w:p>
    <w:p w14:paraId="51C55809">
      <w:pPr>
        <w:pStyle w:val="15"/>
        <w:keepNext w:val="0"/>
        <w:keepLines w:val="0"/>
        <w:widowControl/>
        <w:suppressLineNumbers w:val="0"/>
        <w:spacing w:before="0" w:beforeAutospacing="0" w:after="0" w:afterAutospacing="0"/>
        <w:ind w:left="0" w:right="0" w:firstLine="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p>
    <w:p w14:paraId="26BDC81A">
      <w:pPr>
        <w:pageBreakBefore/>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3E1581AA">
      <w:pPr>
        <w:pStyle w:val="2"/>
        <w:rPr>
          <w:rFonts w:ascii="宋体" w:hAnsi="宋体" w:eastAsia="宋体" w:cs="宋体"/>
          <w:color w:val="auto"/>
          <w:highlight w:val="none"/>
        </w:rPr>
      </w:pPr>
    </w:p>
    <w:p w14:paraId="4D56F906">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_Toc9398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第一篇  采购邀请书</w:t>
      </w:r>
      <w:r>
        <w:rPr>
          <w:sz w:val="30"/>
          <w:szCs w:val="30"/>
        </w:rPr>
        <w:tab/>
      </w:r>
      <w:r>
        <w:rPr>
          <w:sz w:val="30"/>
          <w:szCs w:val="30"/>
        </w:rPr>
        <w:fldChar w:fldCharType="begin"/>
      </w:r>
      <w:r>
        <w:rPr>
          <w:sz w:val="30"/>
          <w:szCs w:val="30"/>
        </w:rPr>
        <w:instrText xml:space="preserve"> PAGEREF _Toc9398 \h </w:instrText>
      </w:r>
      <w:r>
        <w:rPr>
          <w:sz w:val="30"/>
          <w:szCs w:val="30"/>
        </w:rPr>
        <w:fldChar w:fldCharType="separate"/>
      </w:r>
      <w:r>
        <w:rPr>
          <w:sz w:val="30"/>
          <w:szCs w:val="30"/>
        </w:rPr>
        <w:t>- 1 -</w:t>
      </w:r>
      <w:r>
        <w:rPr>
          <w:sz w:val="30"/>
          <w:szCs w:val="30"/>
        </w:rPr>
        <w:fldChar w:fldCharType="end"/>
      </w:r>
      <w:r>
        <w:rPr>
          <w:rFonts w:hint="eastAsia" w:ascii="宋体" w:hAnsi="宋体" w:cs="宋体"/>
          <w:color w:val="auto"/>
          <w:sz w:val="30"/>
          <w:szCs w:val="30"/>
          <w:highlight w:val="none"/>
        </w:rPr>
        <w:fldChar w:fldCharType="end"/>
      </w:r>
    </w:p>
    <w:p w14:paraId="55CDC7C5">
      <w:pPr>
        <w:pStyle w:val="9"/>
        <w:tabs>
          <w:tab w:val="right" w:leader="dot" w:pos="9525"/>
        </w:tabs>
        <w:rPr>
          <w:sz w:val="30"/>
          <w:szCs w:val="30"/>
        </w:rPr>
      </w:pPr>
    </w:p>
    <w:p w14:paraId="4283A370">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_Toc15115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第二篇  项目技术需求</w:t>
      </w:r>
      <w:r>
        <w:rPr>
          <w:sz w:val="30"/>
          <w:szCs w:val="30"/>
        </w:rPr>
        <w:tab/>
      </w:r>
      <w:r>
        <w:rPr>
          <w:sz w:val="30"/>
          <w:szCs w:val="30"/>
        </w:rPr>
        <w:fldChar w:fldCharType="begin"/>
      </w:r>
      <w:r>
        <w:rPr>
          <w:sz w:val="30"/>
          <w:szCs w:val="30"/>
        </w:rPr>
        <w:instrText xml:space="preserve"> PAGEREF _Toc15115 \h </w:instrText>
      </w:r>
      <w:r>
        <w:rPr>
          <w:sz w:val="30"/>
          <w:szCs w:val="30"/>
        </w:rPr>
        <w:fldChar w:fldCharType="separate"/>
      </w:r>
      <w:r>
        <w:rPr>
          <w:sz w:val="30"/>
          <w:szCs w:val="30"/>
        </w:rPr>
        <w:t>- 4 -</w:t>
      </w:r>
      <w:r>
        <w:rPr>
          <w:sz w:val="30"/>
          <w:szCs w:val="30"/>
        </w:rPr>
        <w:fldChar w:fldCharType="end"/>
      </w:r>
      <w:r>
        <w:rPr>
          <w:rFonts w:hint="eastAsia" w:ascii="宋体" w:hAnsi="宋体" w:cs="宋体"/>
          <w:color w:val="auto"/>
          <w:sz w:val="30"/>
          <w:szCs w:val="30"/>
          <w:highlight w:val="none"/>
        </w:rPr>
        <w:fldChar w:fldCharType="end"/>
      </w:r>
    </w:p>
    <w:p w14:paraId="3F1ACC44">
      <w:pPr>
        <w:pStyle w:val="9"/>
        <w:tabs>
          <w:tab w:val="right" w:leader="dot" w:pos="9525"/>
        </w:tabs>
        <w:rPr>
          <w:sz w:val="30"/>
          <w:szCs w:val="30"/>
        </w:rPr>
      </w:pPr>
    </w:p>
    <w:p w14:paraId="3CF28262">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_Toc13822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第三篇  项目商务需求</w:t>
      </w:r>
      <w:r>
        <w:rPr>
          <w:sz w:val="30"/>
          <w:szCs w:val="30"/>
        </w:rPr>
        <w:tab/>
      </w:r>
      <w:r>
        <w:rPr>
          <w:sz w:val="30"/>
          <w:szCs w:val="30"/>
        </w:rPr>
        <w:fldChar w:fldCharType="begin"/>
      </w:r>
      <w:r>
        <w:rPr>
          <w:sz w:val="30"/>
          <w:szCs w:val="30"/>
        </w:rPr>
        <w:instrText xml:space="preserve"> PAGEREF _Toc13822 \h </w:instrText>
      </w:r>
      <w:r>
        <w:rPr>
          <w:sz w:val="30"/>
          <w:szCs w:val="30"/>
        </w:rPr>
        <w:fldChar w:fldCharType="separate"/>
      </w:r>
      <w:r>
        <w:rPr>
          <w:sz w:val="30"/>
          <w:szCs w:val="30"/>
        </w:rPr>
        <w:t>- 8 -</w:t>
      </w:r>
      <w:r>
        <w:rPr>
          <w:sz w:val="30"/>
          <w:szCs w:val="30"/>
        </w:rPr>
        <w:fldChar w:fldCharType="end"/>
      </w:r>
      <w:r>
        <w:rPr>
          <w:rFonts w:hint="eastAsia" w:ascii="宋体" w:hAnsi="宋体" w:cs="宋体"/>
          <w:color w:val="auto"/>
          <w:sz w:val="30"/>
          <w:szCs w:val="30"/>
          <w:highlight w:val="none"/>
        </w:rPr>
        <w:fldChar w:fldCharType="end"/>
      </w:r>
    </w:p>
    <w:p w14:paraId="38E68110">
      <w:pPr>
        <w:pStyle w:val="9"/>
        <w:tabs>
          <w:tab w:val="right" w:leader="dot" w:pos="9525"/>
        </w:tabs>
        <w:rPr>
          <w:sz w:val="30"/>
          <w:szCs w:val="30"/>
        </w:rPr>
      </w:pPr>
    </w:p>
    <w:p w14:paraId="786ABB23">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_Toc23391 </w:instrText>
      </w:r>
      <w:r>
        <w:rPr>
          <w:rFonts w:hint="eastAsia" w:ascii="宋体" w:hAnsi="宋体" w:cs="宋体"/>
          <w:sz w:val="30"/>
          <w:szCs w:val="30"/>
          <w:highlight w:val="none"/>
        </w:rPr>
        <w:fldChar w:fldCharType="separate"/>
      </w:r>
      <w:r>
        <w:rPr>
          <w:rFonts w:hint="eastAsia" w:ascii="宋体" w:hAnsi="宋体" w:eastAsia="宋体" w:cs="宋体"/>
          <w:sz w:val="30"/>
          <w:szCs w:val="30"/>
        </w:rPr>
        <w:t>第四篇  磋商程序及方法、评审标准、无效响应和采购终止</w:t>
      </w:r>
      <w:r>
        <w:rPr>
          <w:sz w:val="30"/>
          <w:szCs w:val="30"/>
        </w:rPr>
        <w:tab/>
      </w:r>
      <w:r>
        <w:rPr>
          <w:sz w:val="30"/>
          <w:szCs w:val="30"/>
        </w:rPr>
        <w:fldChar w:fldCharType="begin"/>
      </w:r>
      <w:r>
        <w:rPr>
          <w:sz w:val="30"/>
          <w:szCs w:val="30"/>
        </w:rPr>
        <w:instrText xml:space="preserve"> PAGEREF _Toc23391 \h </w:instrText>
      </w:r>
      <w:r>
        <w:rPr>
          <w:sz w:val="30"/>
          <w:szCs w:val="30"/>
        </w:rPr>
        <w:fldChar w:fldCharType="separate"/>
      </w:r>
      <w:r>
        <w:rPr>
          <w:sz w:val="30"/>
          <w:szCs w:val="30"/>
        </w:rPr>
        <w:t>- 10 -</w:t>
      </w:r>
      <w:r>
        <w:rPr>
          <w:sz w:val="30"/>
          <w:szCs w:val="30"/>
        </w:rPr>
        <w:fldChar w:fldCharType="end"/>
      </w:r>
      <w:r>
        <w:rPr>
          <w:rFonts w:hint="eastAsia" w:ascii="宋体" w:hAnsi="宋体" w:cs="宋体"/>
          <w:color w:val="auto"/>
          <w:sz w:val="30"/>
          <w:szCs w:val="30"/>
          <w:highlight w:val="none"/>
        </w:rPr>
        <w:fldChar w:fldCharType="end"/>
      </w:r>
    </w:p>
    <w:p w14:paraId="71DD9206">
      <w:pPr>
        <w:pStyle w:val="9"/>
        <w:tabs>
          <w:tab w:val="right" w:leader="dot" w:pos="9525"/>
        </w:tabs>
        <w:rPr>
          <w:sz w:val="30"/>
          <w:szCs w:val="30"/>
        </w:rPr>
      </w:pPr>
    </w:p>
    <w:p w14:paraId="494B250E">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_Toc4940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第五篇  供应商须知</w:t>
      </w:r>
      <w:r>
        <w:rPr>
          <w:sz w:val="30"/>
          <w:szCs w:val="30"/>
        </w:rPr>
        <w:tab/>
      </w:r>
      <w:r>
        <w:rPr>
          <w:sz w:val="30"/>
          <w:szCs w:val="30"/>
        </w:rPr>
        <w:fldChar w:fldCharType="begin"/>
      </w:r>
      <w:r>
        <w:rPr>
          <w:sz w:val="30"/>
          <w:szCs w:val="30"/>
        </w:rPr>
        <w:instrText xml:space="preserve"> PAGEREF _Toc4940 \h </w:instrText>
      </w:r>
      <w:r>
        <w:rPr>
          <w:sz w:val="30"/>
          <w:szCs w:val="30"/>
        </w:rPr>
        <w:fldChar w:fldCharType="separate"/>
      </w:r>
      <w:r>
        <w:rPr>
          <w:sz w:val="30"/>
          <w:szCs w:val="30"/>
        </w:rPr>
        <w:t>- 16 -</w:t>
      </w:r>
      <w:r>
        <w:rPr>
          <w:sz w:val="30"/>
          <w:szCs w:val="30"/>
        </w:rPr>
        <w:fldChar w:fldCharType="end"/>
      </w:r>
      <w:r>
        <w:rPr>
          <w:rFonts w:hint="eastAsia" w:ascii="宋体" w:hAnsi="宋体" w:cs="宋体"/>
          <w:color w:val="auto"/>
          <w:sz w:val="30"/>
          <w:szCs w:val="30"/>
          <w:highlight w:val="none"/>
        </w:rPr>
        <w:fldChar w:fldCharType="end"/>
      </w:r>
    </w:p>
    <w:p w14:paraId="05576792">
      <w:pPr>
        <w:pStyle w:val="9"/>
        <w:tabs>
          <w:tab w:val="right" w:leader="dot" w:pos="9525"/>
        </w:tabs>
        <w:rPr>
          <w:sz w:val="30"/>
          <w:szCs w:val="30"/>
        </w:rPr>
      </w:pPr>
    </w:p>
    <w:p w14:paraId="7E75F5C9">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_Toc27464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第六篇  合同草案条款</w:t>
      </w:r>
      <w:r>
        <w:rPr>
          <w:sz w:val="30"/>
          <w:szCs w:val="30"/>
        </w:rPr>
        <w:tab/>
      </w:r>
      <w:r>
        <w:rPr>
          <w:sz w:val="30"/>
          <w:szCs w:val="30"/>
        </w:rPr>
        <w:fldChar w:fldCharType="begin"/>
      </w:r>
      <w:r>
        <w:rPr>
          <w:sz w:val="30"/>
          <w:szCs w:val="30"/>
        </w:rPr>
        <w:instrText xml:space="preserve"> PAGEREF _Toc27464 \h </w:instrText>
      </w:r>
      <w:r>
        <w:rPr>
          <w:sz w:val="30"/>
          <w:szCs w:val="30"/>
        </w:rPr>
        <w:fldChar w:fldCharType="separate"/>
      </w:r>
      <w:r>
        <w:rPr>
          <w:sz w:val="30"/>
          <w:szCs w:val="30"/>
        </w:rPr>
        <w:t>- 21 -</w:t>
      </w:r>
      <w:r>
        <w:rPr>
          <w:sz w:val="30"/>
          <w:szCs w:val="30"/>
        </w:rPr>
        <w:fldChar w:fldCharType="end"/>
      </w:r>
      <w:r>
        <w:rPr>
          <w:rFonts w:hint="eastAsia" w:ascii="宋体" w:hAnsi="宋体" w:cs="宋体"/>
          <w:color w:val="auto"/>
          <w:sz w:val="30"/>
          <w:szCs w:val="30"/>
          <w:highlight w:val="none"/>
        </w:rPr>
        <w:fldChar w:fldCharType="end"/>
      </w:r>
    </w:p>
    <w:p w14:paraId="72B35346">
      <w:pPr>
        <w:pStyle w:val="9"/>
        <w:tabs>
          <w:tab w:val="right" w:leader="dot" w:pos="9525"/>
        </w:tabs>
        <w:rPr>
          <w:sz w:val="30"/>
          <w:szCs w:val="30"/>
        </w:rPr>
      </w:pPr>
    </w:p>
    <w:p w14:paraId="516B84C0">
      <w:pPr>
        <w:pStyle w:val="14"/>
        <w:tabs>
          <w:tab w:val="right" w:leader="dot" w:pos="9525"/>
        </w:tabs>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_Toc25506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第七篇  响应文件编制要求</w:t>
      </w:r>
      <w:r>
        <w:rPr>
          <w:sz w:val="30"/>
          <w:szCs w:val="30"/>
        </w:rPr>
        <w:tab/>
      </w:r>
      <w:r>
        <w:rPr>
          <w:sz w:val="30"/>
          <w:szCs w:val="30"/>
        </w:rPr>
        <w:fldChar w:fldCharType="begin"/>
      </w:r>
      <w:r>
        <w:rPr>
          <w:sz w:val="30"/>
          <w:szCs w:val="30"/>
        </w:rPr>
        <w:instrText xml:space="preserve"> PAGEREF _Toc25506 \h </w:instrText>
      </w:r>
      <w:r>
        <w:rPr>
          <w:sz w:val="30"/>
          <w:szCs w:val="30"/>
        </w:rPr>
        <w:fldChar w:fldCharType="separate"/>
      </w:r>
      <w:r>
        <w:rPr>
          <w:sz w:val="30"/>
          <w:szCs w:val="30"/>
        </w:rPr>
        <w:t>- 23 -</w:t>
      </w:r>
      <w:r>
        <w:rPr>
          <w:sz w:val="30"/>
          <w:szCs w:val="30"/>
        </w:rPr>
        <w:fldChar w:fldCharType="end"/>
      </w:r>
      <w:r>
        <w:rPr>
          <w:rFonts w:hint="eastAsia" w:ascii="宋体" w:hAnsi="宋体" w:cs="宋体"/>
          <w:color w:val="auto"/>
          <w:sz w:val="30"/>
          <w:szCs w:val="30"/>
          <w:highlight w:val="none"/>
        </w:rPr>
        <w:fldChar w:fldCharType="end"/>
      </w:r>
    </w:p>
    <w:p w14:paraId="3BE86875">
      <w:pPr>
        <w:pStyle w:val="14"/>
        <w:tabs>
          <w:tab w:val="right" w:leader="dot" w:pos="9525"/>
        </w:tabs>
      </w:pPr>
    </w:p>
    <w:p w14:paraId="62C5E295">
      <w:pPr>
        <w:pStyle w:val="14"/>
        <w:tabs>
          <w:tab w:val="right" w:leader="dot" w:pos="9402"/>
        </w:tabs>
        <w:spacing w:line="700" w:lineRule="exact"/>
        <w:ind w:left="560"/>
        <w:jc w:val="center"/>
        <w:rPr>
          <w:rFonts w:ascii="宋体" w:hAnsi="宋体" w:cs="宋体"/>
          <w:color w:val="auto"/>
          <w:sz w:val="24"/>
          <w:szCs w:val="24"/>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hint="eastAsia" w:ascii="宋体" w:hAnsi="宋体" w:cs="宋体"/>
          <w:color w:val="auto"/>
          <w:sz w:val="30"/>
          <w:szCs w:val="30"/>
          <w:highlight w:val="none"/>
        </w:rPr>
        <w:fldChar w:fldCharType="end"/>
      </w:r>
    </w:p>
    <w:p w14:paraId="23DEC37F">
      <w:pPr>
        <w:pStyle w:val="4"/>
        <w:spacing w:line="360" w:lineRule="auto"/>
        <w:jc w:val="center"/>
        <w:rPr>
          <w:rFonts w:ascii="宋体" w:hAnsi="宋体" w:eastAsia="宋体" w:cs="宋体"/>
          <w:b w:val="0"/>
          <w:color w:val="auto"/>
          <w:szCs w:val="30"/>
          <w:highlight w:val="none"/>
        </w:rPr>
      </w:pPr>
      <w:bookmarkStart w:id="0" w:name="_Toc12789052"/>
      <w:bookmarkStart w:id="1" w:name="_Toc12621"/>
      <w:bookmarkStart w:id="2" w:name="_Toc1936"/>
      <w:bookmarkStart w:id="3" w:name="_Toc11641050"/>
      <w:bookmarkStart w:id="4" w:name="_Toc20130529"/>
      <w:bookmarkStart w:id="5" w:name="_Toc10875"/>
      <w:bookmarkStart w:id="6" w:name="_Toc9398"/>
      <w:r>
        <w:rPr>
          <w:rFonts w:hint="eastAsia" w:ascii="宋体" w:hAnsi="宋体" w:eastAsia="宋体" w:cs="宋体"/>
          <w:b w:val="0"/>
          <w:color w:val="auto"/>
          <w:sz w:val="36"/>
          <w:szCs w:val="30"/>
          <w:highlight w:val="none"/>
        </w:rPr>
        <w:t>第一篇  采购邀请书</w:t>
      </w:r>
      <w:bookmarkEnd w:id="0"/>
      <w:bookmarkEnd w:id="1"/>
      <w:bookmarkEnd w:id="2"/>
      <w:bookmarkEnd w:id="3"/>
      <w:bookmarkEnd w:id="4"/>
      <w:bookmarkEnd w:id="5"/>
      <w:bookmarkEnd w:id="6"/>
    </w:p>
    <w:p w14:paraId="439CE7F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rPr>
        <w:t>重庆市无线电监测站</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rPr>
        <w:t>频谱地图技术服务</w:t>
      </w:r>
      <w:r>
        <w:rPr>
          <w:rFonts w:hint="eastAsia" w:ascii="宋体" w:hAnsi="宋体" w:cs="宋体"/>
          <w:color w:val="auto"/>
          <w:sz w:val="24"/>
          <w:szCs w:val="24"/>
          <w:highlight w:val="none"/>
        </w:rPr>
        <w:t>进行竞争性磋商采购。欢迎有资格的供应商前来参与磋商。</w:t>
      </w:r>
    </w:p>
    <w:p w14:paraId="6C620F73">
      <w:pPr>
        <w:pStyle w:val="5"/>
        <w:spacing w:before="0" w:after="0" w:line="500" w:lineRule="exact"/>
        <w:ind w:firstLine="482" w:firstLineChars="200"/>
        <w:rPr>
          <w:rFonts w:ascii="宋体" w:hAnsi="宋体" w:cs="宋体"/>
          <w:color w:val="auto"/>
          <w:sz w:val="24"/>
          <w:szCs w:val="24"/>
          <w:highlight w:val="none"/>
        </w:rPr>
      </w:pPr>
      <w:bookmarkStart w:id="7" w:name="_Toc317775175"/>
      <w:bookmarkStart w:id="8" w:name="_Toc5377"/>
      <w:bookmarkStart w:id="9" w:name="_Toc30800"/>
      <w:bookmarkStart w:id="10" w:name="_Toc313893526"/>
      <w:bookmarkStart w:id="11" w:name="_Toc4527"/>
      <w:bookmarkStart w:id="12" w:name="_Toc20130530"/>
      <w:bookmarkStart w:id="13" w:name="_Toc3426"/>
      <w:r>
        <w:rPr>
          <w:rFonts w:hint="eastAsia" w:ascii="宋体" w:hAnsi="宋体" w:cs="宋体"/>
          <w:color w:val="auto"/>
          <w:sz w:val="24"/>
          <w:szCs w:val="24"/>
          <w:highlight w:val="none"/>
        </w:rPr>
        <w:t>一、竞争性磋商内容</w:t>
      </w:r>
      <w:bookmarkEnd w:id="7"/>
      <w:bookmarkEnd w:id="8"/>
      <w:bookmarkEnd w:id="9"/>
      <w:bookmarkEnd w:id="10"/>
      <w:bookmarkEnd w:id="11"/>
      <w:bookmarkEnd w:id="12"/>
      <w:bookmarkEnd w:id="13"/>
    </w:p>
    <w:tbl>
      <w:tblPr>
        <w:tblStyle w:val="16"/>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177"/>
        <w:gridCol w:w="1315"/>
        <w:gridCol w:w="1777"/>
        <w:gridCol w:w="2361"/>
      </w:tblGrid>
      <w:tr w14:paraId="3B13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28" w:type="dxa"/>
            <w:tcBorders>
              <w:top w:val="single" w:color="auto" w:sz="4" w:space="0"/>
              <w:left w:val="single" w:color="auto" w:sz="4" w:space="0"/>
              <w:right w:val="single" w:color="auto" w:sz="4" w:space="0"/>
            </w:tcBorders>
            <w:vAlign w:val="center"/>
          </w:tcPr>
          <w:p w14:paraId="001652D9">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项目名称</w:t>
            </w:r>
          </w:p>
        </w:tc>
        <w:tc>
          <w:tcPr>
            <w:tcW w:w="1177" w:type="dxa"/>
            <w:tcBorders>
              <w:top w:val="single" w:color="auto" w:sz="4" w:space="0"/>
              <w:left w:val="single" w:color="auto" w:sz="4" w:space="0"/>
              <w:right w:val="single" w:color="auto" w:sz="4" w:space="0"/>
            </w:tcBorders>
            <w:vAlign w:val="center"/>
          </w:tcPr>
          <w:p w14:paraId="116E6795">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最高限价</w:t>
            </w:r>
          </w:p>
          <w:p w14:paraId="457255A2">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（万元）</w:t>
            </w:r>
          </w:p>
        </w:tc>
        <w:tc>
          <w:tcPr>
            <w:tcW w:w="1315" w:type="dxa"/>
            <w:tcBorders>
              <w:top w:val="single" w:color="auto" w:sz="4" w:space="0"/>
              <w:left w:val="single" w:color="auto" w:sz="4" w:space="0"/>
              <w:right w:val="single" w:color="auto" w:sz="4" w:space="0"/>
            </w:tcBorders>
            <w:vAlign w:val="center"/>
          </w:tcPr>
          <w:p w14:paraId="3307466C">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磋商保证金</w:t>
            </w:r>
          </w:p>
          <w:p w14:paraId="118C4B31">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（万元）</w:t>
            </w:r>
          </w:p>
        </w:tc>
        <w:tc>
          <w:tcPr>
            <w:tcW w:w="1777" w:type="dxa"/>
            <w:tcBorders>
              <w:top w:val="single" w:color="auto" w:sz="4" w:space="0"/>
              <w:left w:val="single" w:color="auto" w:sz="4" w:space="0"/>
              <w:right w:val="single" w:color="auto" w:sz="4" w:space="0"/>
            </w:tcBorders>
            <w:vAlign w:val="center"/>
          </w:tcPr>
          <w:p w14:paraId="70D8D0B5">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成交供应商数量（名）</w:t>
            </w:r>
          </w:p>
        </w:tc>
        <w:tc>
          <w:tcPr>
            <w:tcW w:w="2361" w:type="dxa"/>
            <w:tcBorders>
              <w:top w:val="single" w:color="auto" w:sz="4" w:space="0"/>
              <w:left w:val="single" w:color="auto" w:sz="4" w:space="0"/>
              <w:right w:val="single" w:color="auto" w:sz="4" w:space="0"/>
            </w:tcBorders>
            <w:vAlign w:val="center"/>
          </w:tcPr>
          <w:p w14:paraId="4DEC7E68">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采购标的对应的中小企业划分标准所属行业</w:t>
            </w:r>
          </w:p>
        </w:tc>
      </w:tr>
      <w:tr w14:paraId="352E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828" w:type="dxa"/>
            <w:tcBorders>
              <w:top w:val="single" w:color="auto" w:sz="4" w:space="0"/>
              <w:left w:val="single" w:color="auto" w:sz="4" w:space="0"/>
              <w:right w:val="single" w:color="auto" w:sz="4" w:space="0"/>
            </w:tcBorders>
            <w:vAlign w:val="center"/>
          </w:tcPr>
          <w:p w14:paraId="66616B1F">
            <w:pPr>
              <w:widowControl/>
              <w:jc w:val="center"/>
              <w:rPr>
                <w:rFonts w:hint="eastAsia" w:ascii="宋体" w:hAnsi="宋体" w:cs="宋体"/>
                <w:color w:val="auto"/>
                <w:kern w:val="2"/>
                <w:sz w:val="21"/>
                <w:szCs w:val="21"/>
                <w:highlight w:val="none"/>
                <w:u w:val="none"/>
              </w:rPr>
            </w:pPr>
            <w:bookmarkStart w:id="14" w:name="_Hlk344477914"/>
            <w:r>
              <w:rPr>
                <w:rFonts w:hint="eastAsia" w:ascii="宋体" w:hAnsi="宋体" w:cs="宋体"/>
                <w:color w:val="auto"/>
                <w:kern w:val="2"/>
                <w:sz w:val="21"/>
                <w:szCs w:val="21"/>
                <w:highlight w:val="none"/>
                <w:u w:val="none"/>
                <w:lang w:val="en-US" w:eastAsia="zh-CN"/>
              </w:rPr>
              <w:t>频谱地图技术服务</w:t>
            </w:r>
          </w:p>
        </w:tc>
        <w:tc>
          <w:tcPr>
            <w:tcW w:w="1177" w:type="dxa"/>
            <w:tcBorders>
              <w:top w:val="single" w:color="auto" w:sz="4" w:space="0"/>
              <w:left w:val="single" w:color="auto" w:sz="4" w:space="0"/>
              <w:right w:val="single" w:color="auto" w:sz="4" w:space="0"/>
            </w:tcBorders>
            <w:vAlign w:val="center"/>
          </w:tcPr>
          <w:p w14:paraId="1D41E20B">
            <w:pPr>
              <w:widowControl/>
              <w:jc w:val="center"/>
              <w:rPr>
                <w:rFonts w:hint="default" w:ascii="宋体" w:hAnsi="宋体" w:cs="宋体" w:eastAsiaTheme="minorEastAsia"/>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40.2</w:t>
            </w:r>
          </w:p>
        </w:tc>
        <w:tc>
          <w:tcPr>
            <w:tcW w:w="1315" w:type="dxa"/>
            <w:tcBorders>
              <w:top w:val="single" w:color="auto" w:sz="4" w:space="0"/>
              <w:left w:val="single" w:color="auto" w:sz="4" w:space="0"/>
              <w:right w:val="single" w:color="auto" w:sz="4" w:space="0"/>
            </w:tcBorders>
            <w:vAlign w:val="center"/>
          </w:tcPr>
          <w:p w14:paraId="58339F4D">
            <w:pPr>
              <w:widowControl/>
              <w:jc w:val="center"/>
              <w:rPr>
                <w:rFonts w:hint="default"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0.8</w:t>
            </w:r>
          </w:p>
        </w:tc>
        <w:tc>
          <w:tcPr>
            <w:tcW w:w="1777" w:type="dxa"/>
            <w:tcBorders>
              <w:top w:val="single" w:color="auto" w:sz="4" w:space="0"/>
              <w:left w:val="single" w:color="auto" w:sz="4" w:space="0"/>
              <w:right w:val="single" w:color="auto" w:sz="4" w:space="0"/>
            </w:tcBorders>
            <w:vAlign w:val="center"/>
          </w:tcPr>
          <w:p w14:paraId="67778A49">
            <w:pPr>
              <w:widowControl/>
              <w:jc w:val="center"/>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1</w:t>
            </w:r>
          </w:p>
        </w:tc>
        <w:tc>
          <w:tcPr>
            <w:tcW w:w="2361" w:type="dxa"/>
            <w:tcBorders>
              <w:top w:val="single" w:color="auto" w:sz="4" w:space="0"/>
              <w:left w:val="single" w:color="auto" w:sz="4" w:space="0"/>
              <w:right w:val="single" w:color="auto" w:sz="4" w:space="0"/>
            </w:tcBorders>
            <w:vAlign w:val="center"/>
          </w:tcPr>
          <w:p w14:paraId="4416C60F">
            <w:pPr>
              <w:widowControl/>
              <w:jc w:val="center"/>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其他未列明行业</w:t>
            </w:r>
          </w:p>
        </w:tc>
      </w:tr>
      <w:bookmarkEnd w:id="14"/>
    </w:tbl>
    <w:p w14:paraId="67C95393">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5" w:name="_Toc20130531"/>
      <w:bookmarkStart w:id="16" w:name="_Toc23899"/>
      <w:bookmarkStart w:id="17" w:name="_Toc9720"/>
      <w:bookmarkStart w:id="18" w:name="_Toc3391"/>
      <w:bookmarkStart w:id="19" w:name="_Toc17541"/>
      <w:bookmarkStart w:id="20" w:name="_Toc373860293"/>
      <w:bookmarkStart w:id="21" w:name="_Toc317775178"/>
      <w:r>
        <w:rPr>
          <w:rFonts w:hint="eastAsia" w:ascii="宋体" w:hAnsi="宋体" w:cs="宋体"/>
          <w:color w:val="auto"/>
          <w:sz w:val="24"/>
          <w:szCs w:val="24"/>
          <w:highlight w:val="none"/>
        </w:rPr>
        <w:t>二、资金来源</w:t>
      </w:r>
      <w:bookmarkEnd w:id="15"/>
      <w:bookmarkEnd w:id="16"/>
      <w:bookmarkEnd w:id="17"/>
      <w:bookmarkEnd w:id="18"/>
      <w:bookmarkEnd w:id="19"/>
    </w:p>
    <w:p w14:paraId="07800744">
      <w:pPr>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预算金额为40.2万元。</w:t>
      </w:r>
    </w:p>
    <w:p w14:paraId="0EE3BEDB">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22" w:name="_Toc20130532"/>
      <w:bookmarkStart w:id="23" w:name="_Toc23067"/>
      <w:bookmarkStart w:id="24" w:name="_Toc6920"/>
      <w:bookmarkStart w:id="25" w:name="_Toc17834"/>
      <w:bookmarkStart w:id="26" w:name="_Toc22742"/>
      <w:r>
        <w:rPr>
          <w:rFonts w:hint="eastAsia" w:ascii="宋体" w:hAnsi="宋体" w:cs="宋体"/>
          <w:color w:val="auto"/>
          <w:sz w:val="24"/>
          <w:szCs w:val="24"/>
          <w:highlight w:val="none"/>
        </w:rPr>
        <w:t>三、供应商资格条件</w:t>
      </w:r>
      <w:bookmarkEnd w:id="22"/>
      <w:bookmarkEnd w:id="23"/>
      <w:bookmarkEnd w:id="24"/>
      <w:bookmarkEnd w:id="25"/>
      <w:bookmarkEnd w:id="26"/>
    </w:p>
    <w:p w14:paraId="75963F85">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397B2A4A">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14:paraId="7EC7874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（三）本项目的特定资格要求：无</w:t>
      </w:r>
    </w:p>
    <w:p w14:paraId="2CA885A0">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27" w:name="_Toc20717"/>
      <w:bookmarkStart w:id="28" w:name="_Toc27154"/>
      <w:bookmarkStart w:id="29" w:name="_Toc32055"/>
      <w:bookmarkStart w:id="30" w:name="_Toc20130533"/>
      <w:bookmarkStart w:id="31" w:name="_Toc2198"/>
      <w:r>
        <w:rPr>
          <w:rFonts w:hint="eastAsia" w:ascii="宋体" w:hAnsi="宋体" w:cs="宋体"/>
          <w:color w:val="auto"/>
          <w:sz w:val="24"/>
          <w:szCs w:val="24"/>
          <w:highlight w:val="none"/>
        </w:rPr>
        <w:t>四、磋商有关说明</w:t>
      </w:r>
      <w:bookmarkEnd w:id="20"/>
      <w:bookmarkEnd w:id="27"/>
      <w:bookmarkEnd w:id="28"/>
      <w:bookmarkEnd w:id="29"/>
      <w:bookmarkEnd w:id="30"/>
      <w:bookmarkEnd w:id="31"/>
    </w:p>
    <w:p w14:paraId="7FA086CA">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重庆市经济和信息化委员会网”（https://jjxxw.cq.gov.cn/）下载本项目磋商文件以及图纸、澄清等开标前公布的所有项目资料，无论供应商领取或下载与否，均视为已知晓所有招标内容。</w:t>
      </w:r>
    </w:p>
    <w:p w14:paraId="4EA93499">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（二）竞争性磋商公告期限：自采购公告发布之日起三个工作日。</w:t>
      </w:r>
    </w:p>
    <w:p w14:paraId="2D540020">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3F8A9818">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18 </w:t>
      </w:r>
      <w:r>
        <w:rPr>
          <w:rFonts w:hint="eastAsia" w:ascii="宋体" w:hAnsi="宋体" w:cs="宋体"/>
          <w:color w:val="auto"/>
          <w:sz w:val="24"/>
          <w:szCs w:val="24"/>
          <w:highlight w:val="none"/>
        </w:rPr>
        <w:t>日。</w:t>
      </w:r>
    </w:p>
    <w:p w14:paraId="0872A66A">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2.报名方式：供应商在</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7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日17:00时前将《磋商文件发售登记表》（加盖供应商公章）扫描后发送至电子邮箱</w:t>
      </w:r>
      <w:r>
        <w:rPr>
          <w:rFonts w:hint="eastAsia" w:ascii="宋体" w:hAnsi="宋体" w:eastAsia="宋体" w:cs="宋体"/>
          <w:b w:val="0"/>
          <w:bCs w:val="0"/>
          <w:color w:val="auto"/>
          <w:sz w:val="24"/>
          <w:szCs w:val="24"/>
          <w:highlight w:val="none"/>
          <w:vertAlign w:val="baseline"/>
          <w:lang w:val="en-US" w:eastAsia="zh-CN"/>
        </w:rPr>
        <w:t>1585192715@qq.com</w:t>
      </w:r>
      <w:r>
        <w:rPr>
          <w:rFonts w:hint="eastAsia" w:ascii="宋体" w:hAnsi="宋体" w:cs="宋体"/>
          <w:color w:val="auto"/>
          <w:sz w:val="24"/>
          <w:szCs w:val="24"/>
          <w:highlight w:val="none"/>
        </w:rPr>
        <w:t>，视为具备报名资格，否则视为无效。</w:t>
      </w:r>
    </w:p>
    <w:p w14:paraId="5AB2FD25">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3.竞争性磋商文件售价：人民币300元/包（售后不退）。</w:t>
      </w:r>
    </w:p>
    <w:p w14:paraId="2947D0E3">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w:t>
      </w:r>
      <w:r>
        <w:rPr>
          <w:rFonts w:hint="eastAsia" w:ascii="宋体" w:hAnsi="宋体" w:cs="宋体"/>
          <w:sz w:val="24"/>
          <w:szCs w:val="24"/>
        </w:rPr>
        <w:t>报名时缴纳</w:t>
      </w:r>
      <w:r>
        <w:rPr>
          <w:rFonts w:hint="eastAsia" w:ascii="宋体" w:hAnsi="宋体" w:cs="宋体"/>
          <w:sz w:val="24"/>
          <w:szCs w:val="24"/>
          <w:lang w:eastAsia="zh-CN"/>
        </w:rPr>
        <w:t>，</w:t>
      </w:r>
      <w:r>
        <w:rPr>
          <w:rFonts w:hint="eastAsia" w:ascii="宋体" w:hAnsi="宋体" w:cs="宋体"/>
          <w:sz w:val="24"/>
          <w:szCs w:val="24"/>
          <w:lang w:val="en-US" w:eastAsia="zh-CN"/>
        </w:rPr>
        <w:t>缴纳截止时间同报名截止时间</w:t>
      </w:r>
      <w:r>
        <w:rPr>
          <w:rFonts w:hint="eastAsia" w:ascii="宋体" w:hAnsi="宋体" w:cs="宋体"/>
          <w:color w:val="auto"/>
          <w:sz w:val="24"/>
          <w:szCs w:val="24"/>
          <w:highlight w:val="none"/>
        </w:rPr>
        <w:t>。</w:t>
      </w:r>
    </w:p>
    <w:p w14:paraId="02FBBB32">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66E5DC6B">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1.完成报名并按时缴纳了报名费；</w:t>
      </w:r>
    </w:p>
    <w:p w14:paraId="0F0905C9">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14:paraId="6A8705EA">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3.按时签到。</w:t>
      </w:r>
    </w:p>
    <w:p w14:paraId="74B38EB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（五）递交响应文件地点：攀钢集团工科工程咨询有限公司会议室（重庆市渝北区</w:t>
      </w:r>
      <w:r>
        <w:rPr>
          <w:rFonts w:hint="eastAsia" w:ascii="宋体" w:hAnsi="宋体" w:cs="宋体"/>
          <w:color w:val="auto"/>
          <w:sz w:val="24"/>
          <w:szCs w:val="24"/>
          <w:highlight w:val="none"/>
          <w:lang w:val="en-US" w:eastAsia="zh-CN"/>
        </w:rPr>
        <w:t>力帆时代2栋9-2</w:t>
      </w:r>
      <w:r>
        <w:rPr>
          <w:rFonts w:hint="eastAsia" w:ascii="宋体" w:hAnsi="宋体" w:cs="宋体"/>
          <w:color w:val="auto"/>
          <w:sz w:val="24"/>
          <w:szCs w:val="24"/>
          <w:highlight w:val="none"/>
        </w:rPr>
        <w:t>）</w:t>
      </w:r>
    </w:p>
    <w:p w14:paraId="47249080">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7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21 </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6A51A8CE">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（七）磋商开始时间：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7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21 </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09A3B2CB">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32" w:name="_Toc19921"/>
      <w:bookmarkStart w:id="33" w:name="_Toc373860294"/>
      <w:bookmarkStart w:id="34" w:name="_Toc4905"/>
      <w:bookmarkStart w:id="35" w:name="_Toc26505"/>
      <w:bookmarkStart w:id="36" w:name="_Toc20130534"/>
      <w:bookmarkStart w:id="37" w:name="_Toc32288"/>
      <w:r>
        <w:rPr>
          <w:rFonts w:hint="eastAsia" w:ascii="宋体" w:hAnsi="宋体" w:cs="宋体"/>
          <w:color w:val="auto"/>
          <w:sz w:val="24"/>
          <w:szCs w:val="24"/>
          <w:highlight w:val="none"/>
        </w:rPr>
        <w:t>五、磋商保证金</w:t>
      </w:r>
      <w:bookmarkEnd w:id="32"/>
      <w:bookmarkEnd w:id="33"/>
      <w:bookmarkEnd w:id="34"/>
      <w:bookmarkEnd w:id="35"/>
      <w:bookmarkEnd w:id="36"/>
      <w:bookmarkEnd w:id="37"/>
    </w:p>
    <w:p w14:paraId="31977AD7">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bookmarkStart w:id="38" w:name="_Toc20130535"/>
      <w:bookmarkStart w:id="39" w:name="_Toc530038692"/>
      <w:r>
        <w:rPr>
          <w:rFonts w:hint="eastAsia" w:ascii="宋体" w:hAnsi="宋体" w:cs="宋体"/>
          <w:color w:val="auto"/>
          <w:sz w:val="24"/>
          <w:szCs w:val="24"/>
          <w:highlight w:val="none"/>
        </w:rPr>
        <w:t>（一）磋商保证金递交</w:t>
      </w:r>
    </w:p>
    <w:p w14:paraId="43D3CB7C">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w:t>
      </w:r>
      <w:r>
        <w:rPr>
          <w:rFonts w:hint="eastAsia" w:ascii="宋体" w:hAnsi="宋体" w:cs="宋体"/>
          <w:color w:val="auto"/>
          <w:sz w:val="24"/>
          <w:szCs w:val="24"/>
          <w:highlight w:val="none"/>
          <w:lang w:val="en-US" w:eastAsia="zh-CN"/>
        </w:rPr>
        <w:t>开标当</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:00。缴纳保证金时付款凭证备注栏必须备注项目名称（可简写）。</w:t>
      </w:r>
    </w:p>
    <w:p w14:paraId="2A33683A">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34AA53B3">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14:paraId="2CA18626">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14:paraId="3EDBA6D3">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14:paraId="626A6C1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2AA0E433">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14:paraId="21FCF531">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2.成交供应商的投标保证金，在成交供应商与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签订合同后，由采购代理机构在五个工作日内按资金来款渠道直接退还。</w:t>
      </w:r>
    </w:p>
    <w:p w14:paraId="7258C80B">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40" w:name="_Toc23602"/>
      <w:bookmarkStart w:id="41" w:name="_Toc13715"/>
      <w:bookmarkStart w:id="42" w:name="_Toc12301"/>
      <w:bookmarkStart w:id="43" w:name="_Toc29715"/>
      <w:r>
        <w:rPr>
          <w:rFonts w:hint="eastAsia" w:ascii="宋体" w:hAnsi="宋体" w:cs="宋体"/>
          <w:color w:val="auto"/>
          <w:sz w:val="24"/>
          <w:szCs w:val="24"/>
          <w:highlight w:val="none"/>
        </w:rPr>
        <w:t>六、采购项目需落实的政府采购政策</w:t>
      </w:r>
      <w:bookmarkEnd w:id="38"/>
      <w:bookmarkEnd w:id="39"/>
      <w:bookmarkEnd w:id="40"/>
      <w:bookmarkEnd w:id="41"/>
      <w:bookmarkEnd w:id="42"/>
      <w:bookmarkEnd w:id="43"/>
    </w:p>
    <w:p w14:paraId="46655A8E">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F094B32">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68A86959">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5DD7DEB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5C6038FA">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44" w:name="_Toc26503"/>
      <w:bookmarkStart w:id="45" w:name="_Toc16054"/>
      <w:bookmarkStart w:id="46" w:name="_Toc20130536"/>
      <w:bookmarkStart w:id="47" w:name="_Toc13915"/>
      <w:bookmarkStart w:id="48" w:name="_Toc3830"/>
      <w:r>
        <w:rPr>
          <w:rFonts w:hint="eastAsia" w:ascii="宋体" w:hAnsi="宋体" w:cs="宋体"/>
          <w:color w:val="auto"/>
          <w:sz w:val="24"/>
          <w:szCs w:val="24"/>
          <w:highlight w:val="none"/>
        </w:rPr>
        <w:t>七、</w:t>
      </w:r>
      <w:bookmarkEnd w:id="21"/>
      <w:r>
        <w:rPr>
          <w:rFonts w:hint="eastAsia" w:ascii="宋体" w:hAnsi="宋体" w:cs="宋体"/>
          <w:color w:val="auto"/>
          <w:sz w:val="24"/>
          <w:szCs w:val="24"/>
          <w:highlight w:val="none"/>
        </w:rPr>
        <w:t>其它有关规定</w:t>
      </w:r>
      <w:bookmarkEnd w:id="44"/>
      <w:bookmarkEnd w:id="45"/>
      <w:bookmarkEnd w:id="46"/>
      <w:bookmarkEnd w:id="47"/>
      <w:bookmarkEnd w:id="48"/>
    </w:p>
    <w:p w14:paraId="6ED4370E">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7824813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51592AC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22EA5AD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1B22C75B">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735ED431">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6B78D8EE">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1ADDEB59">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366177A">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49" w:name="_Toc932"/>
      <w:bookmarkStart w:id="50" w:name="_Toc5055"/>
      <w:bookmarkStart w:id="51" w:name="_Toc11230"/>
      <w:bookmarkStart w:id="52" w:name="_Toc20130537"/>
      <w:bookmarkStart w:id="53" w:name="_Toc27593"/>
      <w:r>
        <w:rPr>
          <w:rFonts w:hint="eastAsia" w:ascii="宋体" w:hAnsi="宋体" w:cs="宋体"/>
          <w:color w:val="auto"/>
          <w:sz w:val="24"/>
          <w:szCs w:val="24"/>
          <w:highlight w:val="none"/>
        </w:rPr>
        <w:t>八、联系方式</w:t>
      </w:r>
      <w:bookmarkEnd w:id="49"/>
      <w:bookmarkEnd w:id="50"/>
      <w:bookmarkEnd w:id="51"/>
      <w:bookmarkEnd w:id="52"/>
      <w:bookmarkEnd w:id="53"/>
    </w:p>
    <w:p w14:paraId="31A0251C">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：重庆市无线电监测站</w:t>
      </w:r>
    </w:p>
    <w:p w14:paraId="75E5231A">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联系人：罗老师 </w:t>
      </w:r>
    </w:p>
    <w:p w14:paraId="129B7614">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话：023-67710873</w:t>
      </w:r>
    </w:p>
    <w:p w14:paraId="60ED3B42">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址：重庆市江北区兴隆路26号数码大厦16楼</w:t>
      </w:r>
    </w:p>
    <w:p w14:paraId="4D316A47">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（二）采购代理机构：攀钢集团工科工程咨询有限公司</w:t>
      </w:r>
    </w:p>
    <w:p w14:paraId="5ACAF6D0">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曾</w:t>
      </w:r>
      <w:r>
        <w:rPr>
          <w:rFonts w:hint="eastAsia" w:ascii="宋体" w:hAnsi="宋体" w:cs="宋体"/>
          <w:color w:val="auto"/>
          <w:sz w:val="24"/>
          <w:szCs w:val="24"/>
          <w:highlight w:val="none"/>
        </w:rPr>
        <w:t xml:space="preserve">老师 </w:t>
      </w:r>
    </w:p>
    <w:p w14:paraId="2697A1B9">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eastAsia="宋体" w:cs="宋体"/>
          <w:b w:val="0"/>
          <w:bCs w:val="0"/>
          <w:color w:val="auto"/>
          <w:sz w:val="24"/>
          <w:szCs w:val="24"/>
          <w:highlight w:val="none"/>
          <w:vertAlign w:val="baseline"/>
          <w:lang w:val="en-US" w:eastAsia="zh-CN"/>
        </w:rPr>
        <w:t>18323356014</w:t>
      </w:r>
    </w:p>
    <w:p w14:paraId="42D9D674">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地  址：重庆市渝北区</w:t>
      </w:r>
      <w:r>
        <w:rPr>
          <w:rFonts w:hint="eastAsia" w:ascii="宋体" w:hAnsi="宋体" w:cs="宋体"/>
          <w:color w:val="auto"/>
          <w:sz w:val="24"/>
          <w:szCs w:val="24"/>
          <w:highlight w:val="none"/>
          <w:lang w:val="en-US" w:eastAsia="zh-CN"/>
        </w:rPr>
        <w:t>力帆时代2栋9-2</w:t>
      </w:r>
    </w:p>
    <w:p w14:paraId="50DDAD1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2DC7029">
      <w:pPr>
        <w:pStyle w:val="4"/>
        <w:spacing w:before="0" w:after="0" w:line="360" w:lineRule="auto"/>
        <w:ind w:firstLineChars="200"/>
        <w:jc w:val="center"/>
        <w:rPr>
          <w:rFonts w:ascii="宋体" w:hAnsi="宋体" w:cs="宋体"/>
          <w:color w:val="auto"/>
          <w:sz w:val="21"/>
          <w:szCs w:val="21"/>
          <w:highlight w:val="none"/>
        </w:rPr>
      </w:pPr>
      <w:bookmarkStart w:id="54" w:name="_Toc15115"/>
      <w:bookmarkStart w:id="55" w:name="_Toc7927"/>
      <w:bookmarkStart w:id="56" w:name="_Toc8653"/>
      <w:bookmarkStart w:id="57" w:name="_Toc28438"/>
      <w:bookmarkStart w:id="58" w:name="_Toc20130538"/>
      <w:r>
        <w:rPr>
          <w:rFonts w:hint="eastAsia" w:ascii="宋体" w:hAnsi="宋体" w:eastAsia="宋体" w:cs="宋体"/>
          <w:b w:val="0"/>
          <w:color w:val="auto"/>
          <w:sz w:val="36"/>
          <w:szCs w:val="30"/>
          <w:highlight w:val="none"/>
        </w:rPr>
        <w:t>第二篇  项目技术需求</w:t>
      </w:r>
      <w:bookmarkEnd w:id="54"/>
      <w:bookmarkEnd w:id="55"/>
      <w:bookmarkEnd w:id="56"/>
      <w:bookmarkEnd w:id="57"/>
      <w:bookmarkEnd w:id="58"/>
      <w:bookmarkStart w:id="59" w:name="_Toc51854592"/>
      <w:bookmarkStart w:id="60" w:name="_Toc115344005"/>
      <w:bookmarkStart w:id="61" w:name="_Toc98855992"/>
    </w:p>
    <w:bookmarkEnd w:id="59"/>
    <w:bookmarkEnd w:id="60"/>
    <w:bookmarkEnd w:id="61"/>
    <w:p w14:paraId="5C90F40C">
      <w:pPr>
        <w:widowControl w:val="0"/>
        <w:kinsoku/>
        <w:wordWrap/>
        <w:overflowPunct/>
        <w:topLinePunct w:val="0"/>
        <w:autoSpaceDE/>
        <w:autoSpaceDN/>
        <w:bidi w:val="0"/>
        <w:adjustRightInd/>
        <w:snapToGrid w:val="0"/>
        <w:spacing w:line="500" w:lineRule="exact"/>
        <w:ind w:firstLine="0" w:firstLineChars="0"/>
        <w:textAlignment w:val="auto"/>
        <w:rPr>
          <w:rFonts w:ascii="宋体"/>
          <w:b/>
          <w:color w:val="auto"/>
          <w:sz w:val="21"/>
          <w:szCs w:val="21"/>
          <w:highlight w:val="none"/>
        </w:rPr>
      </w:pPr>
      <w:bookmarkStart w:id="62" w:name="_Toc78194437"/>
      <w:bookmarkStart w:id="63" w:name="_Toc6232092"/>
      <w:bookmarkStart w:id="64" w:name="_Toc516989213"/>
      <w:bookmarkStart w:id="65" w:name="_Toc441065663"/>
      <w:bookmarkStart w:id="66" w:name="_Toc5006885"/>
      <w:r>
        <w:rPr>
          <w:rFonts w:hint="eastAsia" w:ascii="宋体"/>
          <w:b/>
          <w:color w:val="auto"/>
          <w:sz w:val="21"/>
          <w:szCs w:val="21"/>
          <w:highlight w:val="none"/>
        </w:rPr>
        <w:t>“※”标注的要求为符合性审查中的实质性要求，响应文件若不满足按</w:t>
      </w:r>
      <w:r>
        <w:rPr>
          <w:rFonts w:hint="eastAsia" w:ascii="宋体"/>
          <w:b/>
          <w:color w:val="auto"/>
          <w:sz w:val="21"/>
          <w:szCs w:val="21"/>
          <w:highlight w:val="none"/>
          <w:lang w:val="en-US" w:eastAsia="zh-CN"/>
        </w:rPr>
        <w:t>否决响应文件</w:t>
      </w:r>
      <w:r>
        <w:rPr>
          <w:rFonts w:hint="eastAsia" w:ascii="宋体"/>
          <w:b/>
          <w:color w:val="auto"/>
          <w:sz w:val="21"/>
          <w:szCs w:val="21"/>
          <w:highlight w:val="none"/>
        </w:rPr>
        <w:t>处理。</w:t>
      </w:r>
    </w:p>
    <w:p w14:paraId="054FD576">
      <w:pPr>
        <w:widowControl w:val="0"/>
        <w:kinsoku/>
        <w:wordWrap/>
        <w:overflowPunct/>
        <w:topLinePunct w:val="0"/>
        <w:autoSpaceDE/>
        <w:autoSpaceDN/>
        <w:bidi w:val="0"/>
        <w:adjustRightInd/>
        <w:snapToGrid w:val="0"/>
        <w:spacing w:line="500" w:lineRule="exact"/>
        <w:ind w:firstLine="0" w:firstLineChars="0"/>
        <w:textAlignment w:val="auto"/>
        <w:rPr>
          <w:rFonts w:ascii="宋体"/>
          <w:b/>
          <w:color w:val="auto"/>
          <w:sz w:val="21"/>
          <w:szCs w:val="21"/>
          <w:highlight w:val="none"/>
        </w:rPr>
      </w:pPr>
      <w:r>
        <w:rPr>
          <w:rFonts w:hint="eastAsia" w:ascii="宋体"/>
          <w:b/>
          <w:color w:val="auto"/>
          <w:sz w:val="21"/>
          <w:szCs w:val="21"/>
          <w:highlight w:val="none"/>
        </w:rPr>
        <w:t>“★”标注的要求为重要</w:t>
      </w:r>
      <w:r>
        <w:rPr>
          <w:rFonts w:hint="eastAsia" w:ascii="宋体"/>
          <w:b/>
          <w:color w:val="auto"/>
          <w:sz w:val="21"/>
          <w:szCs w:val="21"/>
          <w:highlight w:val="none"/>
          <w:lang w:val="en-US" w:eastAsia="zh-CN"/>
        </w:rPr>
        <w:t>服务</w:t>
      </w:r>
      <w:r>
        <w:rPr>
          <w:rFonts w:hint="eastAsia" w:ascii="宋体"/>
          <w:b/>
          <w:color w:val="auto"/>
          <w:sz w:val="21"/>
          <w:szCs w:val="21"/>
          <w:highlight w:val="none"/>
        </w:rPr>
        <w:t>需求，若不满足将按照评标因素中相关规定处理。</w:t>
      </w:r>
    </w:p>
    <w:bookmarkEnd w:id="62"/>
    <w:bookmarkEnd w:id="63"/>
    <w:bookmarkEnd w:id="64"/>
    <w:bookmarkEnd w:id="65"/>
    <w:bookmarkEnd w:id="66"/>
    <w:p w14:paraId="564C5652">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color w:val="auto"/>
          <w:sz w:val="24"/>
          <w:szCs w:val="24"/>
          <w:highlight w:val="none"/>
        </w:rPr>
      </w:pPr>
      <w:bookmarkStart w:id="67" w:name="_Toc21291"/>
      <w:bookmarkStart w:id="68" w:name="_Toc8674"/>
      <w:bookmarkStart w:id="69" w:name="_Toc4619"/>
      <w:bookmarkStart w:id="70" w:name="_Toc4603"/>
      <w:bookmarkStart w:id="71" w:name="_Toc4543"/>
      <w:r>
        <w:rPr>
          <w:rFonts w:hint="eastAsia" w:ascii="宋体"/>
          <w:color w:val="auto"/>
          <w:sz w:val="24"/>
          <w:szCs w:val="24"/>
          <w:highlight w:val="none"/>
        </w:rPr>
        <w:t>一、项目概况</w:t>
      </w:r>
      <w:bookmarkEnd w:id="67"/>
      <w:bookmarkEnd w:id="68"/>
      <w:bookmarkEnd w:id="69"/>
      <w:bookmarkEnd w:id="70"/>
      <w:bookmarkEnd w:id="7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274"/>
        <w:gridCol w:w="1134"/>
        <w:gridCol w:w="1418"/>
      </w:tblGrid>
      <w:tr w14:paraId="5AD9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0" w:type="dxa"/>
            <w:vAlign w:val="center"/>
          </w:tcPr>
          <w:p w14:paraId="2634AE40">
            <w:pPr>
              <w:snapToGrid w:val="0"/>
              <w:jc w:val="center"/>
              <w:rPr>
                <w:rFonts w:ascii="宋体" w:hAnsi="宋体"/>
                <w:b/>
                <w:sz w:val="24"/>
                <w:szCs w:val="24"/>
              </w:rPr>
            </w:pPr>
            <w:r>
              <w:rPr>
                <w:rFonts w:hint="eastAsia" w:ascii="宋体" w:hAnsi="宋体"/>
                <w:b/>
                <w:sz w:val="24"/>
                <w:szCs w:val="24"/>
              </w:rPr>
              <w:t>序号</w:t>
            </w:r>
          </w:p>
        </w:tc>
        <w:tc>
          <w:tcPr>
            <w:tcW w:w="5274" w:type="dxa"/>
            <w:vAlign w:val="center"/>
          </w:tcPr>
          <w:p w14:paraId="3587B857">
            <w:pPr>
              <w:snapToGrid w:val="0"/>
              <w:jc w:val="center"/>
              <w:rPr>
                <w:rFonts w:ascii="宋体" w:hAnsi="宋体"/>
                <w:b/>
                <w:sz w:val="24"/>
                <w:szCs w:val="24"/>
              </w:rPr>
            </w:pPr>
            <w:r>
              <w:rPr>
                <w:rFonts w:hint="eastAsia" w:ascii="宋体" w:hAnsi="宋体"/>
                <w:b/>
                <w:sz w:val="24"/>
                <w:szCs w:val="24"/>
              </w:rPr>
              <w:t>服务内容</w:t>
            </w:r>
          </w:p>
        </w:tc>
        <w:tc>
          <w:tcPr>
            <w:tcW w:w="1134" w:type="dxa"/>
            <w:vAlign w:val="center"/>
          </w:tcPr>
          <w:p w14:paraId="3705EC86">
            <w:pPr>
              <w:snapToGrid w:val="0"/>
              <w:jc w:val="center"/>
              <w:rPr>
                <w:rFonts w:ascii="宋体" w:hAnsi="宋体"/>
                <w:b/>
                <w:sz w:val="24"/>
                <w:szCs w:val="24"/>
              </w:rPr>
            </w:pPr>
            <w:r>
              <w:rPr>
                <w:rFonts w:hint="eastAsia" w:ascii="宋体" w:hAnsi="宋体"/>
                <w:b/>
                <w:sz w:val="24"/>
                <w:szCs w:val="24"/>
              </w:rPr>
              <w:t>单位</w:t>
            </w:r>
          </w:p>
        </w:tc>
        <w:tc>
          <w:tcPr>
            <w:tcW w:w="1418" w:type="dxa"/>
            <w:vAlign w:val="center"/>
          </w:tcPr>
          <w:p w14:paraId="2B8A0E99">
            <w:pPr>
              <w:snapToGrid w:val="0"/>
              <w:jc w:val="center"/>
              <w:rPr>
                <w:rFonts w:ascii="宋体" w:hAnsi="宋体"/>
                <w:b/>
                <w:sz w:val="24"/>
                <w:szCs w:val="24"/>
              </w:rPr>
            </w:pPr>
            <w:r>
              <w:rPr>
                <w:rFonts w:hint="eastAsia" w:ascii="宋体" w:hAnsi="宋体"/>
                <w:b/>
                <w:sz w:val="24"/>
                <w:szCs w:val="24"/>
              </w:rPr>
              <w:t>数量</w:t>
            </w:r>
          </w:p>
        </w:tc>
      </w:tr>
      <w:tr w14:paraId="7C5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0" w:type="dxa"/>
            <w:vAlign w:val="center"/>
          </w:tcPr>
          <w:p w14:paraId="109D4947">
            <w:pPr>
              <w:snapToGrid w:val="0"/>
              <w:jc w:val="center"/>
              <w:rPr>
                <w:rFonts w:ascii="宋体" w:hAnsi="宋体"/>
                <w:sz w:val="24"/>
                <w:szCs w:val="24"/>
              </w:rPr>
            </w:pPr>
            <w:r>
              <w:rPr>
                <w:rFonts w:hint="eastAsia" w:ascii="宋体" w:hAnsi="宋体"/>
                <w:sz w:val="24"/>
                <w:szCs w:val="24"/>
              </w:rPr>
              <w:t>1</w:t>
            </w:r>
          </w:p>
        </w:tc>
        <w:tc>
          <w:tcPr>
            <w:tcW w:w="5274" w:type="dxa"/>
            <w:vAlign w:val="center"/>
          </w:tcPr>
          <w:p w14:paraId="3FF87768">
            <w:pPr>
              <w:snapToGrid w:val="0"/>
              <w:jc w:val="center"/>
              <w:rPr>
                <w:rFonts w:ascii="宋体" w:hAnsi="宋体"/>
                <w:sz w:val="24"/>
                <w:szCs w:val="24"/>
              </w:rPr>
            </w:pPr>
            <w:r>
              <w:rPr>
                <w:rFonts w:hint="eastAsia"/>
                <w:sz w:val="24"/>
                <w:szCs w:val="24"/>
              </w:rPr>
              <w:t>频谱地图技术服务</w:t>
            </w:r>
          </w:p>
        </w:tc>
        <w:tc>
          <w:tcPr>
            <w:tcW w:w="1134" w:type="dxa"/>
            <w:vAlign w:val="center"/>
          </w:tcPr>
          <w:p w14:paraId="5490FD6A">
            <w:pPr>
              <w:snapToGrid w:val="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项</w:t>
            </w:r>
          </w:p>
        </w:tc>
        <w:tc>
          <w:tcPr>
            <w:tcW w:w="1418" w:type="dxa"/>
            <w:vAlign w:val="center"/>
          </w:tcPr>
          <w:p w14:paraId="3F48B230">
            <w:pPr>
              <w:snapToGrid w:val="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p>
        </w:tc>
      </w:tr>
    </w:tbl>
    <w:p w14:paraId="6DBEF053">
      <w:pPr>
        <w:pStyle w:val="5"/>
        <w:spacing w:before="0" w:after="0" w:line="360" w:lineRule="auto"/>
        <w:ind w:firstLine="482" w:firstLineChars="200"/>
        <w:rPr>
          <w:rFonts w:hint="default" w:ascii="Times New Roman" w:hAnsi="Times New Roman" w:cs="Times New Roman"/>
          <w:sz w:val="24"/>
          <w:szCs w:val="24"/>
          <w:highlight w:val="none"/>
        </w:rPr>
      </w:pPr>
      <w:bookmarkStart w:id="72" w:name="_Toc6842"/>
      <w:bookmarkStart w:id="73" w:name="_Toc4330"/>
      <w:bookmarkStart w:id="74" w:name="_Toc19556"/>
      <w:bookmarkStart w:id="75" w:name="_Toc11676"/>
      <w:bookmarkStart w:id="76" w:name="_Toc3886"/>
      <w:r>
        <w:rPr>
          <w:rFonts w:hint="default" w:ascii="Times New Roman" w:hAnsi="Times New Roman" w:cs="Times New Roman"/>
          <w:sz w:val="24"/>
          <w:szCs w:val="24"/>
          <w:highlight w:val="none"/>
        </w:rPr>
        <w:t>二、采购项目要求</w:t>
      </w:r>
      <w:bookmarkEnd w:id="72"/>
      <w:bookmarkEnd w:id="73"/>
      <w:bookmarkEnd w:id="74"/>
      <w:bookmarkEnd w:id="75"/>
      <w:bookmarkEnd w:id="76"/>
    </w:p>
    <w:p w14:paraId="3C1579C8">
      <w:pPr>
        <w:snapToGrid w:val="0"/>
        <w:spacing w:line="500" w:lineRule="exact"/>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（一）项目技术要求</w:t>
      </w:r>
    </w:p>
    <w:p w14:paraId="0A34E5DA">
      <w:pPr>
        <w:pageBreakBefore w:val="0"/>
        <w:widowControl/>
        <w:kinsoku/>
        <w:wordWrap/>
        <w:overflowPunct/>
        <w:topLinePunct w:val="0"/>
        <w:autoSpaceDE/>
        <w:autoSpaceDN/>
        <w:bidi w:val="0"/>
        <w:snapToGrid w:val="0"/>
        <w:spacing w:line="50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1.概述：</w:t>
      </w:r>
      <w:r>
        <w:rPr>
          <w:rFonts w:hint="default" w:ascii="宋体" w:hAnsi="宋体" w:eastAsia="宋体" w:cs="宋体"/>
          <w:color w:val="auto"/>
          <w:sz w:val="24"/>
          <w:lang w:val="en-US" w:eastAsia="zh-CN"/>
        </w:rPr>
        <w:t>成交供应商应</w:t>
      </w:r>
      <w:r>
        <w:rPr>
          <w:rFonts w:hint="eastAsia" w:ascii="宋体" w:hAnsi="宋体" w:eastAsia="宋体" w:cs="宋体"/>
          <w:color w:val="auto"/>
          <w:sz w:val="24"/>
          <w:lang w:val="en-US" w:eastAsia="zh-CN"/>
        </w:rPr>
        <w:t>开发一套</w:t>
      </w:r>
      <w:r>
        <w:rPr>
          <w:rFonts w:hint="eastAsia"/>
          <w:sz w:val="24"/>
          <w:szCs w:val="24"/>
        </w:rPr>
        <w:t>频谱地图</w:t>
      </w:r>
      <w:r>
        <w:rPr>
          <w:rFonts w:hint="eastAsia"/>
          <w:sz w:val="24"/>
          <w:szCs w:val="24"/>
          <w:lang w:val="en-US" w:eastAsia="zh-CN"/>
        </w:rPr>
        <w:t>系统（后简称“系统”）并为系统配置服务器等硬件设备，系统（含软硬件）须部署在采购人无线电业务专网。系统须</w:t>
      </w:r>
      <w:r>
        <w:rPr>
          <w:rFonts w:hint="eastAsia" w:ascii="宋体" w:hAnsi="宋体" w:eastAsia="宋体" w:cs="宋体"/>
          <w:color w:val="auto"/>
          <w:sz w:val="24"/>
          <w:szCs w:val="24"/>
          <w:lang w:val="en-US" w:eastAsia="zh-CN"/>
        </w:rPr>
        <w:t>运用信息化手段，提供数据校验、计算、加工、可视化呈现等技术服务。采购人享有对系统的使用权，成交供应商须提供系统质保和软件升级服务。</w:t>
      </w:r>
    </w:p>
    <w:p w14:paraId="3E5ABD96">
      <w:pPr>
        <w:pageBreakBefore w:val="0"/>
        <w:widowControl w:val="0"/>
        <w:kinsoku/>
        <w:wordWrap/>
        <w:overflowPunct/>
        <w:topLinePunct w:val="0"/>
        <w:autoSpaceDE/>
        <w:autoSpaceDN/>
        <w:bidi w:val="0"/>
        <w:snapToGrid w:val="0"/>
        <w:spacing w:line="500" w:lineRule="exact"/>
        <w:ind w:firstLine="480"/>
        <w:textAlignment w:val="auto"/>
        <w:rPr>
          <w:rFonts w:hint="eastAsia" w:ascii="宋体" w:hAnsi="宋体" w:eastAsia="宋体" w:cs="宋体"/>
          <w:color w:val="auto"/>
          <w:sz w:val="24"/>
          <w:szCs w:val="24"/>
          <w:lang w:val="en-US" w:eastAsia="zh-CN"/>
        </w:rPr>
      </w:pPr>
      <w:r>
        <w:rPr>
          <w:rFonts w:hint="eastAsia" w:ascii="宋体" w:hAnsi="宋体"/>
          <w:sz w:val="24"/>
          <w:szCs w:val="24"/>
        </w:rPr>
        <w:t>★</w:t>
      </w:r>
      <w:r>
        <w:rPr>
          <w:rFonts w:hint="eastAsia" w:ascii="宋体" w:hAnsi="宋体" w:eastAsia="宋体" w:cs="宋体"/>
          <w:color w:val="auto"/>
          <w:sz w:val="24"/>
          <w:szCs w:val="24"/>
          <w:lang w:val="en-US" w:eastAsia="zh-CN"/>
        </w:rPr>
        <w:t>2.数据获取：</w:t>
      </w:r>
      <w:r>
        <w:rPr>
          <w:rFonts w:hint="default" w:ascii="宋体" w:hAnsi="宋体" w:eastAsia="宋体" w:cs="宋体"/>
          <w:color w:val="auto"/>
          <w:sz w:val="24"/>
          <w:szCs w:val="24"/>
          <w:lang w:val="en-US" w:eastAsia="zh-CN"/>
        </w:rPr>
        <w:t>从</w:t>
      </w:r>
      <w:r>
        <w:rPr>
          <w:rFonts w:hint="eastAsia" w:ascii="宋体" w:hAnsi="宋体" w:eastAsia="宋体" w:cs="宋体"/>
          <w:color w:val="auto"/>
          <w:sz w:val="24"/>
          <w:szCs w:val="24"/>
          <w:lang w:val="en-US" w:eastAsia="zh-CN"/>
        </w:rPr>
        <w:t>采购人</w:t>
      </w:r>
      <w:r>
        <w:rPr>
          <w:rFonts w:hint="default" w:ascii="宋体" w:hAnsi="宋体" w:eastAsia="宋体" w:cs="宋体"/>
          <w:color w:val="auto"/>
          <w:sz w:val="24"/>
          <w:szCs w:val="24"/>
          <w:lang w:val="en-US" w:eastAsia="zh-CN"/>
        </w:rPr>
        <w:t>基站数据电子交互系统实时获取基站数据</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根据</w:t>
      </w:r>
      <w:r>
        <w:rPr>
          <w:rFonts w:hint="eastAsia" w:ascii="宋体" w:hAnsi="宋体" w:eastAsia="宋体" w:cs="宋体"/>
          <w:color w:val="auto"/>
          <w:sz w:val="24"/>
          <w:szCs w:val="24"/>
          <w:lang w:val="en-US" w:eastAsia="zh-CN"/>
        </w:rPr>
        <w:t>采购人</w:t>
      </w:r>
      <w:r>
        <w:rPr>
          <w:rFonts w:hint="default" w:ascii="宋体" w:hAnsi="宋体" w:eastAsia="宋体" w:cs="宋体"/>
          <w:color w:val="auto"/>
          <w:sz w:val="24"/>
          <w:szCs w:val="24"/>
          <w:lang w:val="en-US" w:eastAsia="zh-CN"/>
        </w:rPr>
        <w:t>需求调用监测数据。</w:t>
      </w:r>
    </w:p>
    <w:p w14:paraId="1FC3F979">
      <w:pPr>
        <w:snapToGrid w:val="0"/>
        <w:spacing w:line="500" w:lineRule="exact"/>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通过采购人</w:t>
      </w:r>
      <w:r>
        <w:rPr>
          <w:rFonts w:hint="default" w:ascii="宋体" w:hAnsi="宋体" w:eastAsia="宋体" w:cs="宋体"/>
          <w:color w:val="auto"/>
          <w:sz w:val="24"/>
          <w:szCs w:val="24"/>
          <w:lang w:val="en-US" w:eastAsia="zh-CN"/>
        </w:rPr>
        <w:t>基站数据电子交互系统</w:t>
      </w:r>
      <w:r>
        <w:rPr>
          <w:rFonts w:hint="eastAsia" w:ascii="宋体" w:hAnsi="宋体" w:eastAsia="宋体" w:cs="宋体"/>
          <w:color w:val="auto"/>
          <w:sz w:val="24"/>
          <w:szCs w:val="24"/>
          <w:lang w:val="en-US" w:eastAsia="zh-CN"/>
        </w:rPr>
        <w:t>实时获取基站数据。</w:t>
      </w:r>
    </w:p>
    <w:p w14:paraId="7212A87D">
      <w:pPr>
        <w:snapToGrid w:val="0"/>
        <w:spacing w:line="500" w:lineRule="exact"/>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 对接采购人无线电管理一体化平台智能无线电监测系统一期，</w:t>
      </w:r>
      <w:r>
        <w:rPr>
          <w:rFonts w:hint="default" w:ascii="宋体" w:hAnsi="宋体" w:eastAsia="宋体" w:cs="宋体"/>
          <w:color w:val="auto"/>
          <w:sz w:val="24"/>
          <w:szCs w:val="24"/>
          <w:lang w:val="en-US" w:eastAsia="zh-CN"/>
        </w:rPr>
        <w:t>获取存量监测数据任务清单，并实现</w:t>
      </w:r>
      <w:r>
        <w:rPr>
          <w:rFonts w:hint="eastAsia" w:ascii="宋体" w:hAnsi="宋体" w:eastAsia="宋体" w:cs="宋体"/>
          <w:color w:val="auto"/>
          <w:sz w:val="24"/>
          <w:szCs w:val="24"/>
          <w:lang w:val="en-US" w:eastAsia="zh-CN"/>
        </w:rPr>
        <w:t>任务</w:t>
      </w:r>
      <w:r>
        <w:rPr>
          <w:rFonts w:hint="default" w:ascii="宋体" w:hAnsi="宋体" w:eastAsia="宋体" w:cs="宋体"/>
          <w:color w:val="auto"/>
          <w:sz w:val="24"/>
          <w:szCs w:val="24"/>
          <w:lang w:val="en-US" w:eastAsia="zh-CN"/>
        </w:rPr>
        <w:t>筛选以及获取指定任务的频谱数据。</w:t>
      </w:r>
    </w:p>
    <w:p w14:paraId="0713C27F">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color w:val="auto"/>
          <w:sz w:val="24"/>
          <w:szCs w:val="24"/>
          <w:lang w:val="en-US" w:eastAsia="zh-CN"/>
        </w:rPr>
        <w:t>3.</w:t>
      </w:r>
      <w:r>
        <w:rPr>
          <w:rFonts w:hint="default" w:ascii="宋体" w:hAnsi="宋体" w:eastAsia="宋体" w:cs="宋体"/>
          <w:color w:val="auto"/>
          <w:sz w:val="24"/>
          <w:szCs w:val="24"/>
          <w:lang w:val="en-US" w:eastAsia="zh-CN"/>
        </w:rPr>
        <w:t>基站数据校验：</w:t>
      </w:r>
      <w:r>
        <w:rPr>
          <w:rFonts w:hint="eastAsia" w:ascii="宋体" w:hAnsi="宋体" w:eastAsia="宋体" w:cs="宋体"/>
          <w:color w:val="auto"/>
          <w:sz w:val="24"/>
          <w:szCs w:val="24"/>
          <w:lang w:val="en-US" w:eastAsia="zh-CN"/>
        </w:rPr>
        <w:t>优化数据校验功能。</w:t>
      </w:r>
      <w:r>
        <w:rPr>
          <w:rFonts w:hint="default" w:ascii="宋体" w:hAnsi="宋体" w:eastAsia="宋体" w:cs="宋体"/>
          <w:color w:val="auto"/>
          <w:sz w:val="24"/>
          <w:szCs w:val="24"/>
          <w:lang w:val="en-US" w:eastAsia="zh-CN"/>
        </w:rPr>
        <w:t>自动校验用户报送的数据规范性，</w:t>
      </w:r>
      <w:r>
        <w:rPr>
          <w:rFonts w:hint="eastAsia" w:ascii="宋体" w:hAnsi="宋体" w:eastAsia="宋体" w:cs="宋体"/>
          <w:color w:val="auto"/>
          <w:sz w:val="24"/>
          <w:szCs w:val="24"/>
          <w:lang w:val="en-US" w:eastAsia="zh-CN"/>
        </w:rPr>
        <w:t>需完成基站编号、基站名称、台站设置使用人、发射频率上限、发射频率下限、技术体制、扇区标识码（全球小区识别码）、台站经度、台站纬度、地区编码、覆盖场景（城区/郊区/农村）、平均忙</w:t>
      </w:r>
      <w:r>
        <w:rPr>
          <w:rFonts w:hint="eastAsia" w:ascii="宋体" w:hAnsi="宋体" w:eastAsia="宋体" w:cs="宋体"/>
          <w:color w:val="auto"/>
          <w:sz w:val="24"/>
          <w:szCs w:val="24"/>
          <w:highlight w:val="none"/>
          <w:lang w:val="en-US" w:eastAsia="zh-CN"/>
        </w:rPr>
        <w:t>时激活用户数/用户流量</w:t>
      </w:r>
      <w:r>
        <w:rPr>
          <w:rFonts w:hint="default" w:ascii="宋体" w:hAnsi="宋体" w:eastAsia="宋体" w:cs="宋体"/>
          <w:color w:val="auto"/>
          <w:sz w:val="24"/>
          <w:szCs w:val="24"/>
          <w:highlight w:val="none"/>
          <w:lang w:val="en-US" w:eastAsia="zh-CN"/>
        </w:rPr>
        <w:t>等多项关键信息</w:t>
      </w:r>
      <w:r>
        <w:rPr>
          <w:rFonts w:hint="eastAsia" w:ascii="宋体" w:hAnsi="宋体" w:eastAsia="宋体" w:cs="宋体"/>
          <w:color w:val="auto"/>
          <w:sz w:val="24"/>
          <w:szCs w:val="24"/>
          <w:highlight w:val="none"/>
          <w:lang w:val="en-US" w:eastAsia="zh-CN"/>
        </w:rPr>
        <w:t>的校验，并对</w:t>
      </w:r>
      <w:r>
        <w:rPr>
          <w:rFonts w:hint="default" w:ascii="宋体" w:hAnsi="宋体" w:eastAsia="宋体" w:cs="宋体"/>
          <w:color w:val="auto"/>
          <w:sz w:val="24"/>
          <w:szCs w:val="24"/>
          <w:highlight w:val="none"/>
          <w:lang w:val="en-US" w:eastAsia="zh-CN"/>
        </w:rPr>
        <w:t>不规范数据</w:t>
      </w:r>
      <w:r>
        <w:rPr>
          <w:rFonts w:hint="eastAsia" w:ascii="宋体" w:hAnsi="宋体" w:eastAsia="宋体" w:cs="宋体"/>
          <w:color w:val="auto"/>
          <w:sz w:val="24"/>
          <w:szCs w:val="24"/>
          <w:highlight w:val="none"/>
          <w:lang w:val="en-US" w:eastAsia="zh-CN"/>
        </w:rPr>
        <w:t>进行提示</w:t>
      </w:r>
      <w:r>
        <w:rPr>
          <w:rFonts w:hint="default" w:ascii="宋体" w:hAnsi="宋体" w:eastAsia="宋体" w:cs="宋体"/>
          <w:color w:val="auto"/>
          <w:sz w:val="24"/>
          <w:szCs w:val="24"/>
          <w:highlight w:val="none"/>
          <w:lang w:val="en-US" w:eastAsia="zh-CN"/>
        </w:rPr>
        <w:t>。</w:t>
      </w:r>
    </w:p>
    <w:p w14:paraId="33A3D645">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sz w:val="24"/>
          <w:szCs w:val="24"/>
          <w:highlight w:val="none"/>
          <w:lang w:val="en-US" w:eastAsia="zh-CN"/>
        </w:rPr>
        <w:t>4.</w:t>
      </w:r>
      <w:r>
        <w:rPr>
          <w:rFonts w:hint="default" w:ascii="宋体" w:hAnsi="宋体" w:eastAsia="宋体" w:cs="宋体"/>
          <w:color w:val="auto"/>
          <w:sz w:val="24"/>
          <w:szCs w:val="24"/>
          <w:highlight w:val="none"/>
          <w:lang w:val="en-US" w:eastAsia="zh-CN"/>
        </w:rPr>
        <w:t>指标计算：依据相关文件</w:t>
      </w:r>
      <w:r>
        <w:rPr>
          <w:rFonts w:hint="eastAsia" w:ascii="宋体" w:hAnsi="宋体" w:eastAsia="宋体" w:cs="宋体"/>
          <w:color w:val="auto"/>
          <w:sz w:val="24"/>
          <w:szCs w:val="24"/>
          <w:highlight w:val="none"/>
          <w:lang w:val="en-US" w:eastAsia="zh-CN"/>
        </w:rPr>
        <w:t>要求，自动</w:t>
      </w:r>
      <w:r>
        <w:rPr>
          <w:rFonts w:hint="default" w:ascii="宋体" w:hAnsi="宋体" w:eastAsia="宋体" w:cs="宋体"/>
          <w:color w:val="auto"/>
          <w:sz w:val="24"/>
          <w:szCs w:val="24"/>
          <w:highlight w:val="none"/>
          <w:lang w:val="en-US" w:eastAsia="zh-CN"/>
        </w:rPr>
        <w:t>计算</w:t>
      </w:r>
      <w:r>
        <w:rPr>
          <w:rFonts w:hint="eastAsia" w:ascii="宋体" w:hAnsi="宋体" w:eastAsia="宋体" w:cs="宋体"/>
          <w:color w:val="auto"/>
          <w:sz w:val="24"/>
          <w:szCs w:val="24"/>
          <w:highlight w:val="none"/>
          <w:lang w:val="en-US" w:eastAsia="zh-CN"/>
        </w:rPr>
        <w:t>包括但不限于</w:t>
      </w:r>
      <w:r>
        <w:rPr>
          <w:rFonts w:hint="default" w:ascii="宋体" w:hAnsi="宋体" w:eastAsia="宋体" w:cs="宋体"/>
          <w:color w:val="auto"/>
          <w:sz w:val="24"/>
          <w:szCs w:val="24"/>
          <w:highlight w:val="none"/>
          <w:lang w:val="en-US" w:eastAsia="zh-CN"/>
        </w:rPr>
        <w:t>人均基站拥有量、单位频谱用户量、单位频谱用户量等指标。</w:t>
      </w:r>
    </w:p>
    <w:p w14:paraId="42DEFB69">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val="en-US" w:eastAsia="zh-CN"/>
        </w:rPr>
        <w:t>业务数据管理</w:t>
      </w:r>
    </w:p>
    <w:p w14:paraId="21C19B64">
      <w:pPr>
        <w:pageBreakBefore w:val="0"/>
        <w:widowControl w:val="0"/>
        <w:kinsoku/>
        <w:wordWrap/>
        <w:overflowPunct/>
        <w:topLinePunct w:val="0"/>
        <w:autoSpaceDE/>
        <w:autoSpaceDN/>
        <w:bidi w:val="0"/>
        <w:snapToGrid w:val="0"/>
        <w:spacing w:line="500" w:lineRule="exact"/>
        <w:ind w:firstLine="480"/>
        <w:textAlignment w:val="auto"/>
        <w:rPr>
          <w:rFonts w:hint="default"/>
          <w:lang w:val="en-US" w:eastAsia="zh-CN"/>
        </w:rPr>
      </w:pPr>
      <w:r>
        <w:rPr>
          <w:rFonts w:hint="eastAsia" w:ascii="宋体" w:hAnsi="宋体" w:eastAsia="宋体" w:cs="宋体"/>
          <w:color w:val="auto"/>
          <w:sz w:val="24"/>
          <w:szCs w:val="24"/>
          <w:lang w:val="en-US" w:eastAsia="zh-CN"/>
        </w:rPr>
        <w:t>5.1</w:t>
      </w:r>
      <w:r>
        <w:rPr>
          <w:rFonts w:hint="default" w:ascii="宋体" w:hAnsi="宋体" w:eastAsia="宋体" w:cs="宋体"/>
          <w:color w:val="auto"/>
          <w:sz w:val="24"/>
          <w:szCs w:val="24"/>
          <w:lang w:val="en-US" w:eastAsia="zh-CN"/>
        </w:rPr>
        <w:t>基站</w:t>
      </w:r>
      <w:r>
        <w:rPr>
          <w:rFonts w:hint="eastAsia" w:ascii="宋体" w:hAnsi="宋体" w:eastAsia="宋体" w:cs="宋体"/>
          <w:color w:val="auto"/>
          <w:sz w:val="24"/>
          <w:szCs w:val="24"/>
          <w:lang w:val="en-US" w:eastAsia="zh-CN"/>
        </w:rPr>
        <w:t>数据</w:t>
      </w:r>
      <w:r>
        <w:rPr>
          <w:rFonts w:hint="default" w:ascii="宋体" w:hAnsi="宋体" w:eastAsia="宋体" w:cs="宋体"/>
          <w:color w:val="auto"/>
          <w:sz w:val="24"/>
          <w:szCs w:val="24"/>
          <w:lang w:val="en-US" w:eastAsia="zh-CN"/>
        </w:rPr>
        <w:t>管理：</w:t>
      </w:r>
      <w:r>
        <w:rPr>
          <w:rFonts w:hint="default" w:ascii="宋体" w:hAnsi="宋体" w:eastAsia="宋体" w:cs="宋体"/>
          <w:color w:val="auto"/>
          <w:kern w:val="2"/>
          <w:sz w:val="24"/>
          <w:szCs w:val="24"/>
          <w:lang w:val="en-US" w:eastAsia="zh-CN" w:bidi="ar-SA"/>
        </w:rPr>
        <w:t>根据国家有关文件要求计算基站相关指标</w:t>
      </w:r>
      <w:r>
        <w:rPr>
          <w:rFonts w:hint="eastAsia" w:ascii="宋体" w:hAnsi="宋体" w:eastAsia="宋体" w:cs="宋体"/>
          <w:color w:val="auto"/>
          <w:kern w:val="2"/>
          <w:sz w:val="24"/>
          <w:szCs w:val="24"/>
          <w:lang w:val="en-US" w:eastAsia="zh-CN" w:bidi="ar-SA"/>
        </w:rPr>
        <w:t>，需</w:t>
      </w:r>
      <w:r>
        <w:rPr>
          <w:rFonts w:hint="default" w:ascii="宋体" w:hAnsi="宋体" w:eastAsia="宋体" w:cs="宋体"/>
          <w:color w:val="auto"/>
          <w:kern w:val="2"/>
          <w:sz w:val="24"/>
          <w:szCs w:val="24"/>
          <w:lang w:val="en-US" w:eastAsia="zh-CN" w:bidi="ar-SA"/>
        </w:rPr>
        <w:t>使用国家</w:t>
      </w:r>
      <w:r>
        <w:rPr>
          <w:rFonts w:hint="eastAsia" w:ascii="宋体" w:hAnsi="宋体" w:eastAsia="宋体" w:cs="宋体"/>
          <w:color w:val="auto"/>
          <w:kern w:val="2"/>
          <w:sz w:val="24"/>
          <w:szCs w:val="24"/>
          <w:lang w:val="en-US" w:eastAsia="zh-CN" w:bidi="ar-SA"/>
        </w:rPr>
        <w:t>最新</w:t>
      </w:r>
      <w:r>
        <w:rPr>
          <w:rFonts w:hint="default" w:ascii="宋体" w:hAnsi="宋体" w:eastAsia="宋体" w:cs="宋体"/>
          <w:color w:val="auto"/>
          <w:kern w:val="2"/>
          <w:sz w:val="24"/>
          <w:szCs w:val="24"/>
          <w:lang w:val="en-US" w:eastAsia="zh-CN" w:bidi="ar-SA"/>
        </w:rPr>
        <w:t>发布的相关数据取值参考表。支持用户自由设置参考表内指标的取值，用于指标计算。</w:t>
      </w:r>
      <w:r>
        <w:rPr>
          <w:rFonts w:hint="eastAsia" w:ascii="宋体" w:hAnsi="宋体" w:eastAsia="宋体" w:cs="宋体"/>
          <w:color w:val="auto"/>
          <w:kern w:val="2"/>
          <w:sz w:val="24"/>
          <w:szCs w:val="24"/>
          <w:lang w:val="en-US" w:eastAsia="zh-CN" w:bidi="ar-SA"/>
        </w:rPr>
        <w:t>需</w:t>
      </w:r>
      <w:r>
        <w:rPr>
          <w:rFonts w:hint="default" w:ascii="宋体" w:hAnsi="宋体" w:eastAsia="宋体" w:cs="宋体"/>
          <w:color w:val="auto"/>
          <w:kern w:val="2"/>
          <w:sz w:val="24"/>
          <w:szCs w:val="24"/>
          <w:lang w:val="en-US" w:eastAsia="zh-CN" w:bidi="ar-SA"/>
        </w:rPr>
        <w:t>实现对基站信息进行查看</w:t>
      </w:r>
      <w:r>
        <w:rPr>
          <w:rFonts w:hint="eastAsia" w:ascii="宋体" w:hAnsi="宋体" w:eastAsia="宋体" w:cs="宋体"/>
          <w:color w:val="auto"/>
          <w:kern w:val="2"/>
          <w:sz w:val="24"/>
          <w:szCs w:val="24"/>
          <w:lang w:val="en-US" w:eastAsia="zh-CN" w:bidi="ar-SA"/>
        </w:rPr>
        <w:t>，包括但不限于</w:t>
      </w:r>
      <w:r>
        <w:rPr>
          <w:rFonts w:hint="default" w:ascii="宋体" w:hAnsi="宋体" w:eastAsia="宋体" w:cs="宋体"/>
          <w:color w:val="auto"/>
          <w:kern w:val="2"/>
          <w:sz w:val="24"/>
          <w:szCs w:val="24"/>
          <w:lang w:val="en-US" w:eastAsia="zh-CN" w:bidi="ar-SA"/>
        </w:rPr>
        <w:t>查看/查询基站编号、基站名称、台站设置使用人、发射频率上限、发射频率下限、技术体制、扇区标识码（全球小区识别码）、台站地址、台站经度、台站纬度、地区编码、覆盖场景（城区/郊区/农村）、平均忙时激活用户数/用户流量等基本参数。</w:t>
      </w:r>
    </w:p>
    <w:p w14:paraId="02ECDA7E">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w:t>
      </w:r>
      <w:r>
        <w:rPr>
          <w:rFonts w:hint="default" w:ascii="宋体" w:hAnsi="宋体" w:eastAsia="宋体" w:cs="宋体"/>
          <w:color w:val="auto"/>
          <w:sz w:val="24"/>
          <w:szCs w:val="24"/>
          <w:lang w:val="en-US" w:eastAsia="zh-CN"/>
        </w:rPr>
        <w:t>行政区域管理：实现管理重庆市范围内38个区县的面积信息、区域类型（城市、郊区、农村）、人口数量等。</w:t>
      </w:r>
    </w:p>
    <w:p w14:paraId="6C043240">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5.3数据字典：提供业务数据相关的数据字典编制规则，包括但不限于基站频率划分、系统权限、角色配置。</w:t>
      </w:r>
    </w:p>
    <w:p w14:paraId="4E46D3C7">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 </w:t>
      </w:r>
      <w:r>
        <w:rPr>
          <w:rFonts w:hint="default" w:ascii="宋体" w:hAnsi="宋体" w:eastAsia="宋体" w:cs="宋体"/>
          <w:color w:val="auto"/>
          <w:sz w:val="24"/>
          <w:szCs w:val="24"/>
          <w:lang w:val="en-US" w:eastAsia="zh-CN"/>
        </w:rPr>
        <w:t>实测验证</w:t>
      </w:r>
    </w:p>
    <w:p w14:paraId="1C87BDC6">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w:t>
      </w:r>
      <w:r>
        <w:rPr>
          <w:rFonts w:hint="default" w:ascii="宋体" w:hAnsi="宋体" w:eastAsia="宋体" w:cs="宋体"/>
          <w:color w:val="auto"/>
          <w:sz w:val="24"/>
          <w:szCs w:val="24"/>
          <w:lang w:val="en-US" w:eastAsia="zh-CN"/>
        </w:rPr>
        <w:t>频段占用度实测验证：按行政区划调用固定监测站测量频段占用度，可导出实测</w:t>
      </w:r>
      <w:r>
        <w:rPr>
          <w:rFonts w:hint="eastAsia" w:ascii="宋体" w:hAnsi="宋体" w:eastAsia="宋体" w:cs="宋体"/>
          <w:color w:val="auto"/>
          <w:sz w:val="24"/>
          <w:szCs w:val="24"/>
          <w:lang w:val="en-US" w:eastAsia="zh-CN"/>
        </w:rPr>
        <w:t>数据</w:t>
      </w:r>
      <w:r>
        <w:rPr>
          <w:rFonts w:hint="default" w:ascii="宋体" w:hAnsi="宋体" w:eastAsia="宋体" w:cs="宋体"/>
          <w:color w:val="auto"/>
          <w:sz w:val="24"/>
          <w:szCs w:val="24"/>
          <w:lang w:val="en-US" w:eastAsia="zh-CN"/>
        </w:rPr>
        <w:t>统计报表。</w:t>
      </w:r>
    </w:p>
    <w:p w14:paraId="399E47E7">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sz w:val="24"/>
          <w:szCs w:val="24"/>
        </w:rPr>
        <w:t>★</w:t>
      </w:r>
      <w:r>
        <w:rPr>
          <w:rFonts w:hint="eastAsia" w:ascii="宋体" w:hAnsi="宋体"/>
          <w:sz w:val="24"/>
          <w:szCs w:val="24"/>
          <w:lang w:val="en-US" w:eastAsia="zh-CN"/>
        </w:rPr>
        <w:t>6.2</w:t>
      </w:r>
      <w:r>
        <w:rPr>
          <w:rFonts w:hint="default" w:ascii="宋体" w:hAnsi="宋体" w:eastAsia="宋体" w:cs="宋体"/>
          <w:color w:val="auto"/>
          <w:sz w:val="24"/>
          <w:szCs w:val="24"/>
          <w:lang w:val="en-US" w:eastAsia="zh-CN"/>
        </w:rPr>
        <w:t>路测比对及轨迹展示：实现导入路测设备（与</w:t>
      </w:r>
      <w:r>
        <w:rPr>
          <w:rFonts w:hint="eastAsia" w:ascii="宋体" w:hAnsi="宋体" w:eastAsia="宋体" w:cs="宋体"/>
          <w:color w:val="auto"/>
          <w:sz w:val="24"/>
          <w:szCs w:val="24"/>
          <w:lang w:val="en-US" w:eastAsia="zh-CN"/>
        </w:rPr>
        <w:t>采购人</w:t>
      </w:r>
      <w:r>
        <w:rPr>
          <w:rFonts w:hint="default" w:ascii="宋体" w:hAnsi="宋体" w:eastAsia="宋体" w:cs="宋体"/>
          <w:color w:val="auto"/>
          <w:sz w:val="24"/>
          <w:szCs w:val="24"/>
          <w:lang w:val="en-US" w:eastAsia="zh-CN"/>
        </w:rPr>
        <w:t>已有路测设备兼容）采集的相关参数，并与基站参数比对，对存在不合格参数的基站、未上报的基站在GIS上予以标注并实现结果导出。比对参数包括</w:t>
      </w:r>
      <w:r>
        <w:rPr>
          <w:rFonts w:hint="eastAsia" w:ascii="宋体" w:hAnsi="宋体" w:eastAsia="宋体" w:cs="宋体"/>
          <w:color w:val="auto"/>
          <w:sz w:val="24"/>
          <w:szCs w:val="24"/>
          <w:lang w:val="en-US" w:eastAsia="zh-CN"/>
        </w:rPr>
        <w:t>但不限于</w:t>
      </w:r>
      <w:r>
        <w:rPr>
          <w:rFonts w:hint="default" w:ascii="宋体" w:hAnsi="宋体" w:eastAsia="宋体" w:cs="宋体"/>
          <w:color w:val="auto"/>
          <w:sz w:val="24"/>
          <w:szCs w:val="24"/>
          <w:lang w:val="en-US" w:eastAsia="zh-CN"/>
        </w:rPr>
        <w:t>发射频率下限、发射频率上限、经度、纬度、台站地址、技术体制、扇区标识码（全球小区识别码）等。支持导入路测轨迹并</w:t>
      </w:r>
      <w:r>
        <w:rPr>
          <w:rFonts w:hint="eastAsia" w:ascii="宋体" w:hAnsi="宋体" w:eastAsia="宋体" w:cs="宋体"/>
          <w:color w:val="auto"/>
          <w:sz w:val="24"/>
          <w:szCs w:val="24"/>
          <w:lang w:val="en-US" w:eastAsia="zh-CN"/>
        </w:rPr>
        <w:t>可视化</w:t>
      </w:r>
      <w:r>
        <w:rPr>
          <w:rFonts w:hint="default" w:ascii="宋体" w:hAnsi="宋体" w:eastAsia="宋体" w:cs="宋体"/>
          <w:color w:val="auto"/>
          <w:sz w:val="24"/>
          <w:szCs w:val="24"/>
          <w:lang w:val="en-US" w:eastAsia="zh-CN"/>
        </w:rPr>
        <w:t>展示。</w:t>
      </w:r>
    </w:p>
    <w:p w14:paraId="39249FD5">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 </w:t>
      </w:r>
      <w:r>
        <w:rPr>
          <w:rFonts w:hint="default" w:ascii="宋体" w:hAnsi="宋体" w:eastAsia="宋体" w:cs="宋体"/>
          <w:color w:val="auto"/>
          <w:sz w:val="24"/>
          <w:szCs w:val="24"/>
          <w:lang w:val="en-US" w:eastAsia="zh-CN"/>
        </w:rPr>
        <w:t>数舱平台</w:t>
      </w:r>
    </w:p>
    <w:p w14:paraId="39EBFD5F">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r>
        <w:rPr>
          <w:rFonts w:hint="default" w:ascii="宋体" w:hAnsi="宋体" w:eastAsia="宋体" w:cs="宋体"/>
          <w:color w:val="auto"/>
          <w:sz w:val="24"/>
          <w:szCs w:val="24"/>
          <w:lang w:val="en-US" w:eastAsia="zh-CN"/>
        </w:rPr>
        <w:t>基站分布展示：基于GIS，通过数据大屏，以领导驾驶舱的</w:t>
      </w:r>
      <w:r>
        <w:rPr>
          <w:rFonts w:hint="eastAsia" w:ascii="宋体" w:hAnsi="宋体" w:eastAsia="宋体" w:cs="宋体"/>
          <w:color w:val="auto"/>
          <w:sz w:val="24"/>
          <w:szCs w:val="24"/>
          <w:lang w:val="en-US" w:eastAsia="zh-CN"/>
        </w:rPr>
        <w:t>视角</w:t>
      </w:r>
      <w:r>
        <w:rPr>
          <w:rFonts w:hint="default" w:ascii="宋体" w:hAnsi="宋体" w:eastAsia="宋体" w:cs="宋体"/>
          <w:color w:val="auto"/>
          <w:sz w:val="24"/>
          <w:szCs w:val="24"/>
          <w:lang w:val="en-US" w:eastAsia="zh-CN"/>
        </w:rPr>
        <w:t>展示基站的分布情况，点缀基站相关信息。支持输入基站参数搜索相应基站，支持用户框选、多选或选定某一行政区划内的基站。支持不同运营商数据分析展示。</w:t>
      </w:r>
    </w:p>
    <w:p w14:paraId="60EA93EC">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w:t>
      </w:r>
      <w:r>
        <w:rPr>
          <w:rFonts w:hint="default" w:ascii="宋体" w:hAnsi="宋体" w:eastAsia="宋体" w:cs="宋体"/>
          <w:color w:val="auto"/>
          <w:sz w:val="24"/>
          <w:szCs w:val="24"/>
          <w:lang w:val="en-US" w:eastAsia="zh-CN"/>
        </w:rPr>
        <w:t>基站覆盖展示：基于GIS</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根据筛选条件展示基站覆盖范围</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筛选条件包括</w:t>
      </w:r>
      <w:r>
        <w:rPr>
          <w:rFonts w:hint="eastAsia" w:ascii="宋体" w:hAnsi="宋体" w:eastAsia="宋体" w:cs="宋体"/>
          <w:color w:val="auto"/>
          <w:sz w:val="24"/>
          <w:szCs w:val="24"/>
          <w:lang w:val="en-US" w:eastAsia="zh-CN"/>
        </w:rPr>
        <w:t>但不限于</w:t>
      </w:r>
      <w:r>
        <w:rPr>
          <w:rFonts w:hint="default" w:ascii="宋体" w:hAnsi="宋体" w:eastAsia="宋体" w:cs="宋体"/>
          <w:color w:val="auto"/>
          <w:sz w:val="24"/>
          <w:szCs w:val="24"/>
          <w:lang w:val="en-US" w:eastAsia="zh-CN"/>
        </w:rPr>
        <w:t>：行政区划、频率使用单位、基站制式、频段范围等。</w:t>
      </w:r>
    </w:p>
    <w:p w14:paraId="4C10D017">
      <w:pPr>
        <w:pageBreakBefore w:val="0"/>
        <w:widowControl w:val="0"/>
        <w:kinsoku/>
        <w:wordWrap/>
        <w:overflowPunct/>
        <w:topLinePunct w:val="0"/>
        <w:autoSpaceDE/>
        <w:autoSpaceDN/>
        <w:bidi w:val="0"/>
        <w:snapToGrid w:val="0"/>
        <w:spacing w:line="500" w:lineRule="exact"/>
        <w:ind w:firstLine="48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lang w:val="en-US" w:eastAsia="zh-CN"/>
        </w:rPr>
        <w:t>多维统计展示</w:t>
      </w:r>
    </w:p>
    <w:p w14:paraId="6A70573E">
      <w:pPr>
        <w:pageBreakBefore w:val="0"/>
        <w:widowControl w:val="0"/>
        <w:kinsoku/>
        <w:wordWrap/>
        <w:overflowPunct/>
        <w:topLinePunct w:val="0"/>
        <w:autoSpaceDE/>
        <w:autoSpaceDN/>
        <w:bidi w:val="0"/>
        <w:snapToGrid w:val="0"/>
        <w:spacing w:line="50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8.1计算指标趋势：分别以折线、柱状图、饼图的方式展示同一用频单位每项指标按时间变化的趋势和对比、占比详情，支持月、季度、年等不同时间段不同用户针对同一指标的同比、环比详情</w:t>
      </w:r>
      <w:r>
        <w:rPr>
          <w:rFonts w:hint="default" w:ascii="宋体" w:hAnsi="宋体" w:eastAsia="宋体" w:cs="宋体"/>
          <w:color w:val="auto"/>
          <w:sz w:val="24"/>
          <w:szCs w:val="24"/>
          <w:lang w:val="en-US" w:eastAsia="zh-CN"/>
        </w:rPr>
        <w:t>。</w:t>
      </w:r>
    </w:p>
    <w:p w14:paraId="0960862F">
      <w:pPr>
        <w:pageBreakBefore w:val="0"/>
        <w:widowControl w:val="0"/>
        <w:kinsoku/>
        <w:wordWrap/>
        <w:overflowPunct/>
        <w:topLinePunct w:val="0"/>
        <w:autoSpaceDE/>
        <w:autoSpaceDN/>
        <w:bidi w:val="0"/>
        <w:snapToGrid w:val="0"/>
        <w:spacing w:line="50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基站路测结果展示：实现展示路测比对后存在的不合格参数的基站、未上报的基站，</w:t>
      </w:r>
    </w:p>
    <w:p w14:paraId="73D2D11E">
      <w:pPr>
        <w:pageBreakBefore w:val="0"/>
        <w:widowControl w:val="0"/>
        <w:kinsoku/>
        <w:wordWrap/>
        <w:overflowPunct/>
        <w:topLinePunct w:val="0"/>
        <w:autoSpaceDE/>
        <w:autoSpaceDN/>
        <w:bidi w:val="0"/>
        <w:snapToGrid w:val="0"/>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实现多次对比结果的统计（支持按照年度统计各地区或各用频设台单位填报数据与采集结果一致/不一致的基站及比例）。</w:t>
      </w:r>
    </w:p>
    <w:p w14:paraId="300B9E26">
      <w:pPr>
        <w:pageBreakBefore w:val="0"/>
        <w:widowControl w:val="0"/>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color w:val="auto"/>
          <w:sz w:val="24"/>
          <w:szCs w:val="24"/>
          <w:lang w:val="en-US" w:eastAsia="zh-CN"/>
        </w:rPr>
      </w:pPr>
      <w:r>
        <w:rPr>
          <w:rFonts w:hint="eastAsia" w:ascii="宋体" w:eastAsia="宋体"/>
          <w:b/>
          <w:color w:val="auto"/>
          <w:sz w:val="21"/>
          <w:szCs w:val="21"/>
          <w:highlight w:val="none"/>
          <w:lang w:val="en-US" w:eastAsia="zh-CN"/>
        </w:rPr>
        <w:t>9</w:t>
      </w:r>
      <w:r>
        <w:rPr>
          <w:rFonts w:hint="eastAsia" w:ascii="宋体" w:hAnsi="宋体" w:eastAsia="宋体" w:cs="宋体"/>
          <w:color w:val="auto"/>
          <w:sz w:val="24"/>
          <w:szCs w:val="24"/>
          <w:lang w:val="en-US" w:eastAsia="zh-CN"/>
        </w:rPr>
        <w:t>.接入无线电管理一体化平台</w:t>
      </w:r>
    </w:p>
    <w:p w14:paraId="542EB19C">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应根据国家无线电管理一体化平台系列技术规范接入采购人现有无线电管理一体化平台，实现单点登录、统一用户信息等功能。</w:t>
      </w:r>
    </w:p>
    <w:p w14:paraId="4CE388FA">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10.数据库及服务器配置</w:t>
      </w:r>
    </w:p>
    <w:p w14:paraId="145014AC">
      <w:pPr>
        <w:pageBreakBefore w:val="0"/>
        <w:widowControl w:val="0"/>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供应商应配置一套数据库和一台服务器（含操作系统）。</w:t>
      </w:r>
    </w:p>
    <w:p w14:paraId="4F20A5DB">
      <w:pPr>
        <w:snapToGrid w:val="0"/>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10.1服务器配置要求</w:t>
      </w:r>
    </w:p>
    <w:p w14:paraId="3ECDEA38">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1、处理器：配置≥2颗，每颗CPU核心数≥16核，每颗CPU主频≥2.5GHz，每颗CPU三级缓存≥32MB；</w:t>
      </w:r>
    </w:p>
    <w:p w14:paraId="393C830C">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2、内存：内存配置≥128GB DDR4 ，支持≥16个内存插槽；</w:t>
      </w:r>
    </w:p>
    <w:p w14:paraId="3B06B16C">
      <w:pPr>
        <w:snapToGrid w:val="0"/>
        <w:spacing w:line="500" w:lineRule="exact"/>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3、网络：配置≥4千兆电口；</w:t>
      </w:r>
      <w:r>
        <w:rPr>
          <w:rFonts w:hint="eastAsia" w:ascii="宋体" w:hAnsi="宋体" w:eastAsia="宋体" w:cs="宋体"/>
          <w:color w:val="auto"/>
          <w:sz w:val="24"/>
          <w:szCs w:val="24"/>
          <w:highlight w:val="none"/>
          <w:lang w:val="en-US" w:eastAsia="zh-CN"/>
        </w:rPr>
        <w:t>配置2个万兆光口；</w:t>
      </w:r>
    </w:p>
    <w:p w14:paraId="348DE762">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4、PCIe扩展：最大支持6个PCIe 4.0插槽（2个内置专用插槽），不使用线缆和扩展卡；</w:t>
      </w:r>
    </w:p>
    <w:p w14:paraId="50FD95CC">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5、存储:本次配置≥2块480G 2.5 SATA 6Gb R SSD硬盘，配置≥3块4T 3.5 SATA 7.2K 6Gb硬盘；</w:t>
      </w:r>
    </w:p>
    <w:p w14:paraId="171F9823">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6、硬盘控制器：独立RAID控制器，支持RAID 0/1/5/10/50/60，支持RAID状态迁移、RAID配置记忆等功能；</w:t>
      </w:r>
    </w:p>
    <w:p w14:paraId="0BF4AFA7">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7、风扇：配置≥3个热插拔高速系统风扇模组；</w:t>
      </w:r>
    </w:p>
    <w:p w14:paraId="4BB6CED2">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8、电源配置≥2个800WCRPS标准电源，支持1+1冗余；</w:t>
      </w:r>
    </w:p>
    <w:p w14:paraId="4055D380">
      <w:pPr>
        <w:snapToGrid w:val="0"/>
        <w:spacing w:line="5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9、其他：IO 2个VGA接口，4个USB 接口，1 个RJ-45 管理接口；</w:t>
      </w:r>
    </w:p>
    <w:p w14:paraId="67832EF0">
      <w:pPr>
        <w:snapToGrid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10.2 成交供应商应保证系统运行稳定流畅，若以上服务器配置不能满足系统运行要求，成交供应商应优化服务器配置，直至系统运行稳定流畅。</w:t>
      </w:r>
    </w:p>
    <w:p w14:paraId="3C554D1B">
      <w:pPr>
        <w:pStyle w:val="3"/>
        <w:numPr>
          <w:ilvl w:val="-1"/>
          <w:numId w:val="0"/>
        </w:numPr>
        <w:ind w:left="0"/>
        <w:rPr>
          <w:rFonts w:hint="default"/>
          <w:lang w:val="en-US" w:eastAsia="zh-CN"/>
        </w:rPr>
      </w:pPr>
    </w:p>
    <w:p w14:paraId="60B3C150">
      <w:pPr>
        <w:numPr>
          <w:ilvl w:val="0"/>
          <w:numId w:val="2"/>
        </w:numPr>
        <w:snapToGrid w:val="0"/>
        <w:spacing w:line="500" w:lineRule="exact"/>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项目服务要求</w:t>
      </w:r>
    </w:p>
    <w:p w14:paraId="474B8AB3">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bookmarkStart w:id="77" w:name="_Toc3587"/>
      <w:bookmarkStart w:id="78" w:name="_Toc1620905184"/>
      <w:r>
        <w:rPr>
          <w:rFonts w:hint="eastAsia" w:ascii="宋体" w:hAnsi="宋体" w:eastAsia="宋体" w:cs="宋体"/>
          <w:color w:val="auto"/>
          <w:sz w:val="24"/>
          <w:szCs w:val="24"/>
          <w:lang w:val="en-US" w:eastAsia="zh-CN"/>
        </w:rPr>
        <w:t>1.数据库及服务器配置</w:t>
      </w:r>
      <w:bookmarkEnd w:id="77"/>
      <w:bookmarkEnd w:id="78"/>
    </w:p>
    <w:p w14:paraId="6AC3B430">
      <w:pPr>
        <w:pageBreakBefore w:val="0"/>
        <w:widowControl w:val="0"/>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供应商应配置一套国产数据库和一台服务器。</w:t>
      </w:r>
    </w:p>
    <w:p w14:paraId="3639FB7F">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sz w:val="24"/>
          <w:szCs w:val="24"/>
        </w:rPr>
        <w:t>★</w:t>
      </w:r>
      <w:r>
        <w:rPr>
          <w:rFonts w:hint="eastAsia" w:ascii="宋体" w:hAnsi="宋体" w:eastAsia="宋体" w:cs="宋体"/>
          <w:color w:val="auto"/>
          <w:sz w:val="24"/>
          <w:szCs w:val="24"/>
          <w:lang w:val="en-US" w:eastAsia="zh-CN"/>
        </w:rPr>
        <w:t>2.网络安全要求</w:t>
      </w:r>
    </w:p>
    <w:p w14:paraId="6EF303CA">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成交供应商应出具渗透测试报告和漏洞扫描报告，证明系统不存在任何网络安全漏洞。同时承诺如果在服务期内发现网络安全漏洞应免费整改，直到完成漏洞修补。</w:t>
      </w:r>
    </w:p>
    <w:p w14:paraId="0EBAEFD5">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sz w:val="24"/>
          <w:szCs w:val="24"/>
        </w:rPr>
        <w:t>★</w:t>
      </w:r>
      <w:r>
        <w:rPr>
          <w:rFonts w:hint="eastAsia" w:ascii="宋体" w:hAnsi="宋体" w:eastAsia="宋体" w:cs="宋体"/>
          <w:color w:val="auto"/>
          <w:sz w:val="24"/>
          <w:szCs w:val="24"/>
          <w:lang w:val="en-US" w:eastAsia="zh-CN"/>
        </w:rPr>
        <w:t>3.安全可靠测评</w:t>
      </w:r>
    </w:p>
    <w:p w14:paraId="1444FE03">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数据库、CPU、操作系统均须</w:t>
      </w:r>
      <w:r>
        <w:rPr>
          <w:rFonts w:hint="eastAsia" w:ascii="宋体" w:hAnsi="宋体" w:eastAsia="宋体" w:cs="宋体"/>
          <w:color w:val="auto"/>
          <w:sz w:val="24"/>
          <w:szCs w:val="24"/>
          <w:highlight w:val="none"/>
          <w:lang w:val="en-US" w:eastAsia="zh-CN"/>
        </w:rPr>
        <w:t>通过中国信息安全测评中心的安全可靠测评。</w:t>
      </w:r>
    </w:p>
    <w:p w14:paraId="4690C193">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sz w:val="24"/>
          <w:szCs w:val="24"/>
        </w:rPr>
        <w:t>★</w:t>
      </w:r>
      <w:r>
        <w:rPr>
          <w:rFonts w:hint="eastAsia" w:ascii="宋体" w:hAnsi="宋体" w:eastAsia="宋体" w:cs="宋体"/>
          <w:color w:val="auto"/>
          <w:sz w:val="24"/>
          <w:szCs w:val="24"/>
          <w:lang w:val="en-US" w:eastAsia="zh-CN"/>
        </w:rPr>
        <w:t>4.软件升级</w:t>
      </w:r>
    </w:p>
    <w:p w14:paraId="3EDB2040">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服务期内根据国家无线电管理机构相关技术规范及业务规范调整，成交供应商应免费提供软件升级。</w:t>
      </w:r>
    </w:p>
    <w:p w14:paraId="4ABCAD1A">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sz w:val="24"/>
          <w:szCs w:val="24"/>
        </w:rPr>
        <w:t>★</w:t>
      </w:r>
      <w:r>
        <w:rPr>
          <w:rFonts w:hint="eastAsia" w:ascii="宋体" w:hAnsi="宋体" w:eastAsia="宋体" w:cs="宋体"/>
          <w:color w:val="auto"/>
          <w:sz w:val="24"/>
          <w:szCs w:val="24"/>
          <w:lang w:val="en-US" w:eastAsia="zh-CN"/>
        </w:rPr>
        <w:t>5.使用权</w:t>
      </w:r>
    </w:p>
    <w:p w14:paraId="5243E8BC">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服务期结束后，成交供应商不再负责质保和软件升级，采购人具有对该系统所有软硬件的永久使用权。</w:t>
      </w:r>
    </w:p>
    <w:p w14:paraId="291B4615">
      <w:pPr>
        <w:pStyle w:val="2"/>
        <w:rPr>
          <w:rFonts w:hint="default"/>
          <w:lang w:val="en-US" w:eastAsia="zh-CN"/>
        </w:rPr>
      </w:pPr>
    </w:p>
    <w:p w14:paraId="123E68EA">
      <w:pPr>
        <w:pageBreakBefore w:val="0"/>
        <w:widowControl w:val="0"/>
        <w:kinsoku/>
        <w:wordWrap/>
        <w:overflowPunct/>
        <w:topLinePunct w:val="0"/>
        <w:autoSpaceDE/>
        <w:autoSpaceDN/>
        <w:bidi w:val="0"/>
        <w:snapToGrid w:val="0"/>
        <w:spacing w:line="500" w:lineRule="exact"/>
        <w:jc w:val="center"/>
        <w:textAlignment w:val="auto"/>
        <w:rPr>
          <w:rFonts w:ascii="宋体" w:hAnsi="宋体" w:eastAsia="宋体" w:cs="宋体"/>
          <w:b w:val="0"/>
          <w:color w:val="auto"/>
          <w:sz w:val="36"/>
          <w:szCs w:val="30"/>
          <w:highlight w:val="none"/>
        </w:rPr>
      </w:pPr>
      <w:r>
        <w:rPr>
          <w:rFonts w:hint="default" w:ascii="宋体" w:hAnsi="宋体" w:eastAsia="宋体" w:cs="宋体"/>
          <w:color w:val="auto"/>
          <w:sz w:val="24"/>
          <w:szCs w:val="24"/>
          <w:lang w:val="en-US" w:eastAsia="zh-CN"/>
        </w:rPr>
        <w:br w:type="page"/>
      </w:r>
      <w:bookmarkStart w:id="79" w:name="_Toc13822"/>
      <w:bookmarkStart w:id="80" w:name="_Toc4521"/>
      <w:bookmarkStart w:id="81" w:name="_Toc3183"/>
      <w:bookmarkStart w:id="82" w:name="_Toc12372"/>
      <w:r>
        <w:rPr>
          <w:rFonts w:hint="eastAsia" w:ascii="宋体" w:hAnsi="宋体" w:eastAsia="宋体" w:cs="宋体"/>
          <w:b w:val="0"/>
          <w:color w:val="auto"/>
          <w:sz w:val="36"/>
          <w:szCs w:val="30"/>
          <w:highlight w:val="none"/>
        </w:rPr>
        <w:t>第三篇  项目商务需求</w:t>
      </w:r>
      <w:bookmarkEnd w:id="79"/>
      <w:bookmarkEnd w:id="80"/>
      <w:bookmarkEnd w:id="81"/>
      <w:bookmarkEnd w:id="82"/>
    </w:p>
    <w:p w14:paraId="7557A1A6">
      <w:pPr>
        <w:spacing w:line="500" w:lineRule="exact"/>
        <w:ind w:firstLine="422" w:firstLineChars="200"/>
        <w:rPr>
          <w:rFonts w:ascii="宋体" w:hAnsi="宋体" w:cs="宋体"/>
          <w:color w:val="auto"/>
          <w:sz w:val="24"/>
          <w:szCs w:val="24"/>
          <w:highlight w:val="none"/>
        </w:rPr>
      </w:pPr>
      <w:bookmarkStart w:id="83" w:name="_Toc344475120"/>
      <w:r>
        <w:rPr>
          <w:rFonts w:hint="eastAsia" w:ascii="宋体" w:hAnsi="宋体" w:cs="宋体"/>
          <w:b/>
          <w:color w:val="auto"/>
          <w:sz w:val="21"/>
          <w:szCs w:val="21"/>
          <w:highlight w:val="none"/>
        </w:rPr>
        <w:t>“※”标注的要求为符合性审查中的实质性要求，响应文件若不满足按无效响应处理。</w:t>
      </w:r>
    </w:p>
    <w:bookmarkEnd w:id="83"/>
    <w:p w14:paraId="241EA666">
      <w:pPr>
        <w:pStyle w:val="5"/>
        <w:spacing w:before="0" w:after="0" w:line="500" w:lineRule="exact"/>
        <w:ind w:firstLine="482" w:firstLineChars="200"/>
        <w:rPr>
          <w:rFonts w:ascii="宋体" w:hAnsi="宋体" w:cs="宋体"/>
          <w:color w:val="auto"/>
          <w:sz w:val="24"/>
          <w:szCs w:val="24"/>
          <w:highlight w:val="none"/>
        </w:rPr>
      </w:pPr>
      <w:bookmarkStart w:id="84" w:name="_Toc20130543"/>
      <w:bookmarkStart w:id="85" w:name="_Toc17407344"/>
      <w:bookmarkStart w:id="86" w:name="_Toc267320049"/>
      <w:bookmarkStart w:id="87" w:name="_Toc377042757"/>
      <w:bookmarkStart w:id="88" w:name="_Toc19478"/>
      <w:bookmarkStart w:id="89" w:name="_Toc6218"/>
      <w:bookmarkStart w:id="90" w:name="_Toc16455"/>
      <w:bookmarkStart w:id="91" w:name="_Toc32555"/>
      <w:r>
        <w:rPr>
          <w:rFonts w:hint="eastAsia" w:ascii="宋体" w:hAnsi="宋体" w:cs="宋体"/>
          <w:color w:val="auto"/>
          <w:sz w:val="24"/>
          <w:szCs w:val="24"/>
          <w:highlight w:val="none"/>
        </w:rPr>
        <w:t>※一、服务期、地点、验收方式</w:t>
      </w:r>
      <w:bookmarkEnd w:id="84"/>
      <w:bookmarkEnd w:id="85"/>
      <w:bookmarkEnd w:id="86"/>
      <w:bookmarkEnd w:id="87"/>
      <w:r>
        <w:rPr>
          <w:rFonts w:hint="eastAsia" w:ascii="宋体" w:hAnsi="宋体" w:cs="宋体"/>
          <w:color w:val="auto"/>
          <w:sz w:val="24"/>
          <w:szCs w:val="24"/>
          <w:highlight w:val="none"/>
        </w:rPr>
        <w:t>及标准</w:t>
      </w:r>
      <w:bookmarkEnd w:id="88"/>
      <w:bookmarkEnd w:id="89"/>
      <w:bookmarkEnd w:id="90"/>
      <w:bookmarkEnd w:id="91"/>
    </w:p>
    <w:p w14:paraId="3041CF0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w:t>
      </w:r>
    </w:p>
    <w:p w14:paraId="41638F9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自</w:t>
      </w:r>
      <w:r>
        <w:rPr>
          <w:rFonts w:hint="eastAsia" w:ascii="宋体" w:hAnsi="宋体" w:cs="宋体"/>
          <w:color w:val="auto"/>
          <w:sz w:val="24"/>
          <w:szCs w:val="24"/>
          <w:highlight w:val="none"/>
          <w:lang w:eastAsia="zh-CN"/>
        </w:rPr>
        <w:t>项目通过验收之日</w:t>
      </w:r>
      <w:r>
        <w:rPr>
          <w:rFonts w:hint="eastAsia" w:ascii="宋体" w:hAnsi="宋体" w:cs="宋体"/>
          <w:color w:val="auto"/>
          <w:sz w:val="24"/>
          <w:szCs w:val="24"/>
          <w:highlight w:val="none"/>
        </w:rPr>
        <w:t>起</w:t>
      </w:r>
      <w:r>
        <w:rPr>
          <w:rFonts w:hint="eastAsia" w:ascii="宋体" w:hAnsi="宋体" w:cs="宋体"/>
          <w:color w:val="auto"/>
          <w:sz w:val="24"/>
          <w:szCs w:val="24"/>
          <w:highlight w:val="none"/>
          <w:lang w:val="en-US" w:eastAsia="zh-CN"/>
        </w:rPr>
        <w:t>5年</w:t>
      </w:r>
      <w:r>
        <w:rPr>
          <w:rFonts w:hint="eastAsia" w:ascii="宋体" w:hAnsi="宋体" w:cs="宋体"/>
          <w:color w:val="auto"/>
          <w:sz w:val="24"/>
          <w:szCs w:val="24"/>
          <w:highlight w:val="none"/>
        </w:rPr>
        <w:t>。</w:t>
      </w:r>
    </w:p>
    <w:p w14:paraId="6F9AA1BF">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w:t>
      </w:r>
    </w:p>
    <w:p w14:paraId="57A10B3B">
      <w:pPr>
        <w:snapToGrid w:val="0"/>
        <w:spacing w:line="500" w:lineRule="exact"/>
        <w:ind w:firstLine="480" w:firstLineChars="200"/>
        <w:rPr>
          <w:rFonts w:ascii="宋体" w:hAnsi="宋体" w:cs="宋体"/>
          <w:color w:val="auto"/>
          <w:sz w:val="24"/>
          <w:szCs w:val="24"/>
          <w:highlight w:val="none"/>
        </w:rPr>
      </w:pPr>
      <w:bookmarkStart w:id="92" w:name="_Toc377042758"/>
      <w:bookmarkStart w:id="93" w:name="_Toc267320050"/>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同意或指定地点。</w:t>
      </w:r>
    </w:p>
    <w:p w14:paraId="286B734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（三）验收方式及标准</w:t>
      </w:r>
    </w:p>
    <w:p w14:paraId="58AD56C7">
      <w:pPr>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1.验收单位：</w:t>
      </w:r>
      <w:r>
        <w:rPr>
          <w:rFonts w:hint="eastAsia" w:ascii="宋体" w:hAnsi="宋体" w:cs="宋体"/>
          <w:color w:val="auto"/>
          <w:sz w:val="24"/>
          <w:szCs w:val="24"/>
          <w:highlight w:val="none"/>
          <w:lang w:eastAsia="zh-CN"/>
        </w:rPr>
        <w:t>采购人</w:t>
      </w:r>
    </w:p>
    <w:p w14:paraId="73B678BA">
      <w:pPr>
        <w:snapToGrid w:val="0"/>
        <w:spacing w:line="500" w:lineRule="exact"/>
        <w:ind w:firstLine="480" w:firstLineChars="200"/>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2.验收时间：自合同签订之日起90个日历日内，成交供应商应完成系统集成和所有功能开发，完成上述工作后，采购人应组织开展验收。</w:t>
      </w:r>
    </w:p>
    <w:p w14:paraId="40142E2C">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.验收标准：按照国家及行业相关标准、竞争性磋商文件规定对成交供应商的完成情况进行验收，如验收达不到相关规定要求，视为该项目验收不合格，</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有权立即终止合同。由此对</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造成一定的损失，成交供应商应承担一切责任，并赔偿所造成的损失。</w:t>
      </w:r>
    </w:p>
    <w:p w14:paraId="41C1557B">
      <w:pPr>
        <w:pStyle w:val="5"/>
        <w:spacing w:before="0" w:after="0" w:line="500" w:lineRule="exact"/>
        <w:ind w:firstLine="482" w:firstLineChars="200"/>
        <w:rPr>
          <w:rFonts w:ascii="宋体" w:hAnsi="宋体" w:cs="宋体"/>
          <w:color w:val="auto"/>
          <w:sz w:val="24"/>
          <w:szCs w:val="24"/>
          <w:highlight w:val="none"/>
        </w:rPr>
      </w:pPr>
      <w:bookmarkStart w:id="94" w:name="_Toc20130544"/>
      <w:bookmarkStart w:id="95" w:name="_Toc21171"/>
      <w:bookmarkStart w:id="96" w:name="_Toc31315"/>
      <w:bookmarkStart w:id="97" w:name="_Toc17407345"/>
      <w:bookmarkStart w:id="98" w:name="_Toc19864"/>
      <w:bookmarkStart w:id="99" w:name="_Toc31261"/>
      <w:r>
        <w:rPr>
          <w:rFonts w:hint="eastAsia" w:ascii="宋体" w:hAnsi="宋体" w:cs="宋体"/>
          <w:color w:val="auto"/>
          <w:sz w:val="24"/>
          <w:szCs w:val="24"/>
          <w:highlight w:val="none"/>
        </w:rPr>
        <w:t>※二、报价要求</w:t>
      </w:r>
      <w:bookmarkEnd w:id="92"/>
      <w:bookmarkEnd w:id="94"/>
      <w:bookmarkEnd w:id="95"/>
      <w:bookmarkEnd w:id="96"/>
      <w:bookmarkEnd w:id="97"/>
      <w:bookmarkEnd w:id="98"/>
      <w:bookmarkEnd w:id="99"/>
    </w:p>
    <w:bookmarkEnd w:id="93"/>
    <w:p w14:paraId="62B21501">
      <w:pPr>
        <w:numPr>
          <w:ilvl w:val="0"/>
          <w:numId w:val="3"/>
        </w:numPr>
        <w:snapToGrid w:val="0"/>
        <w:spacing w:line="500" w:lineRule="exact"/>
        <w:ind w:firstLine="480" w:firstLineChars="200"/>
        <w:rPr>
          <w:rFonts w:hint="eastAsia" w:ascii="宋体" w:hAnsi="宋体" w:cs="宋体"/>
          <w:color w:val="auto"/>
          <w:sz w:val="24"/>
          <w:szCs w:val="24"/>
          <w:highlight w:val="none"/>
        </w:rPr>
      </w:pPr>
      <w:bookmarkStart w:id="100" w:name="_Toc377042760"/>
      <w:bookmarkStart w:id="101" w:name="_Toc20130545"/>
      <w:bookmarkStart w:id="102" w:name="_Toc267320051"/>
      <w:bookmarkStart w:id="103" w:name="_Toc17407347"/>
      <w:r>
        <w:rPr>
          <w:rFonts w:hint="eastAsia" w:ascii="宋体" w:hAnsi="宋体" w:cs="宋体"/>
          <w:color w:val="auto"/>
          <w:sz w:val="24"/>
          <w:szCs w:val="24"/>
          <w:highlight w:val="none"/>
        </w:rPr>
        <w:t>磋商报价包括完成本项目所需的包括（但不限于）技术服务费、设备维修费、维护费、人工费、税费、培训费等其它与本项目相关的一切费用。</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报价估计不足或市场价格波动</w:t>
      </w:r>
      <w:r>
        <w:rPr>
          <w:rFonts w:hint="eastAsia" w:ascii="宋体" w:hAnsi="宋体" w:cs="宋体"/>
          <w:color w:val="auto"/>
          <w:sz w:val="24"/>
          <w:szCs w:val="24"/>
          <w:highlight w:val="none"/>
          <w:lang w:eastAsia="zh-CN"/>
        </w:rPr>
        <w:t>皆</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自行负责，</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均不承担价差补偿。</w:t>
      </w:r>
    </w:p>
    <w:p w14:paraId="08889E5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w:t>
      </w:r>
      <w:r>
        <w:rPr>
          <w:rFonts w:hint="eastAsia" w:ascii="宋体" w:hAnsi="宋体" w:cs="宋体"/>
          <w:color w:val="auto"/>
          <w:sz w:val="24"/>
          <w:szCs w:val="24"/>
          <w:highlight w:val="none"/>
          <w:lang w:val="en-US" w:eastAsia="zh-CN"/>
        </w:rPr>
        <w:t>采用总价包干，</w:t>
      </w: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40.2</w:t>
      </w:r>
      <w:r>
        <w:rPr>
          <w:rFonts w:hint="eastAsia" w:ascii="宋体" w:hAnsi="宋体" w:cs="宋体"/>
          <w:color w:val="auto"/>
          <w:sz w:val="24"/>
          <w:szCs w:val="24"/>
          <w:highlight w:val="none"/>
        </w:rPr>
        <w:t>万元，供应商的响应报价不得高于总价最高限价，否则按无效响应处理。</w:t>
      </w:r>
    </w:p>
    <w:p w14:paraId="389F88E8">
      <w:pPr>
        <w:pStyle w:val="5"/>
        <w:spacing w:before="0" w:after="0" w:line="500" w:lineRule="exact"/>
        <w:ind w:firstLine="482" w:firstLineChars="200"/>
        <w:rPr>
          <w:rFonts w:ascii="宋体" w:hAnsi="宋体" w:cs="宋体"/>
          <w:color w:val="auto"/>
          <w:sz w:val="24"/>
          <w:szCs w:val="24"/>
          <w:highlight w:val="none"/>
        </w:rPr>
      </w:pPr>
      <w:bookmarkStart w:id="104" w:name="_Toc2971"/>
      <w:bookmarkStart w:id="105" w:name="_Toc6881"/>
      <w:bookmarkStart w:id="106" w:name="_Toc11"/>
      <w:bookmarkStart w:id="107" w:name="_Toc31194"/>
      <w:r>
        <w:rPr>
          <w:rFonts w:hint="eastAsia" w:ascii="宋体" w:hAnsi="宋体" w:cs="宋体"/>
          <w:color w:val="auto"/>
          <w:sz w:val="24"/>
          <w:szCs w:val="24"/>
          <w:highlight w:val="none"/>
        </w:rPr>
        <w:t>※三、付款方式</w:t>
      </w:r>
      <w:bookmarkEnd w:id="100"/>
      <w:bookmarkEnd w:id="101"/>
      <w:bookmarkEnd w:id="102"/>
      <w:bookmarkEnd w:id="103"/>
      <w:bookmarkEnd w:id="104"/>
      <w:bookmarkEnd w:id="105"/>
      <w:bookmarkEnd w:id="106"/>
      <w:bookmarkEnd w:id="107"/>
      <w:r>
        <w:rPr>
          <w:rFonts w:hint="eastAsia" w:ascii="宋体" w:hAnsi="宋体" w:cs="宋体"/>
          <w:color w:val="auto"/>
          <w:sz w:val="24"/>
          <w:szCs w:val="24"/>
          <w:highlight w:val="none"/>
        </w:rPr>
        <w:t xml:space="preserve"> </w:t>
      </w:r>
    </w:p>
    <w:p w14:paraId="6ED4862F">
      <w:pPr>
        <w:snapToGrid w:val="0"/>
        <w:spacing w:line="500" w:lineRule="exact"/>
        <w:ind w:firstLine="480" w:firstLineChars="200"/>
        <w:rPr>
          <w:rFonts w:ascii="宋体" w:hAnsi="宋体" w:cs="宋体"/>
          <w:color w:val="auto"/>
          <w:sz w:val="24"/>
          <w:szCs w:val="24"/>
          <w:highlight w:val="none"/>
        </w:rPr>
      </w:pPr>
      <w:bookmarkStart w:id="108" w:name="_Toc377042761"/>
      <w:bookmarkStart w:id="109" w:name="_Toc267320052"/>
      <w:r>
        <w:rPr>
          <w:rFonts w:hint="eastAsia" w:ascii="宋体" w:hAnsi="宋体" w:cs="宋体"/>
          <w:color w:val="auto"/>
          <w:sz w:val="24"/>
          <w:szCs w:val="24"/>
          <w:highlight w:val="none"/>
        </w:rPr>
        <w:t>（一）合同签订前，成交供应商向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指定账户缴纳合同金额</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%的履约保证金</w:t>
      </w:r>
      <w:r>
        <w:rPr>
          <w:rFonts w:hint="eastAsia" w:ascii="宋体" w:hAnsi="宋体" w:cs="宋体"/>
          <w:color w:val="auto"/>
          <w:sz w:val="24"/>
          <w:szCs w:val="24"/>
          <w:highlight w:val="none"/>
          <w:lang w:eastAsia="zh-CN"/>
        </w:rPr>
        <w:t>，</w:t>
      </w:r>
      <w:r>
        <w:rPr>
          <w:rFonts w:hint="eastAsia" w:ascii="宋体" w:hAnsi="宋体" w:eastAsia="宋体" w:cs="Times New Roman"/>
          <w:color w:val="auto"/>
          <w:kern w:val="2"/>
          <w:sz w:val="24"/>
          <w:szCs w:val="24"/>
          <w:highlight w:val="none"/>
        </w:rPr>
        <w:t>以支票、汇票、本票或者金融机构、担保机构出具的保函等非现金形式提交</w:t>
      </w:r>
      <w:r>
        <w:rPr>
          <w:rFonts w:hint="eastAsia" w:ascii="宋体" w:hAnsi="宋体" w:cs="宋体"/>
          <w:color w:val="auto"/>
          <w:sz w:val="24"/>
          <w:szCs w:val="24"/>
          <w:highlight w:val="none"/>
        </w:rPr>
        <w:t>。</w:t>
      </w:r>
    </w:p>
    <w:p w14:paraId="66E5AD6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合同签订并通过验收后</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向成交供应商支付合同</w:t>
      </w:r>
      <w:r>
        <w:rPr>
          <w:rFonts w:hint="eastAsia" w:ascii="宋体" w:hAnsi="宋体" w:cs="宋体"/>
          <w:color w:val="auto"/>
          <w:sz w:val="24"/>
          <w:szCs w:val="24"/>
          <w:highlight w:val="none"/>
          <w:lang w:eastAsia="zh-CN"/>
        </w:rPr>
        <w:t>全款</w:t>
      </w:r>
      <w:r>
        <w:rPr>
          <w:rFonts w:hint="eastAsia" w:ascii="宋体" w:hAnsi="宋体" w:cs="宋体"/>
          <w:color w:val="auto"/>
          <w:sz w:val="24"/>
          <w:szCs w:val="24"/>
          <w:highlight w:val="none"/>
        </w:rPr>
        <w:t>。</w:t>
      </w:r>
    </w:p>
    <w:p w14:paraId="3E32E82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（三）项目</w:t>
      </w:r>
      <w:r>
        <w:rPr>
          <w:rFonts w:hint="eastAsia" w:ascii="宋体" w:hAnsi="宋体" w:cs="宋体"/>
          <w:color w:val="auto"/>
          <w:sz w:val="24"/>
          <w:szCs w:val="24"/>
          <w:highlight w:val="none"/>
          <w:lang w:eastAsia="zh-CN"/>
        </w:rPr>
        <w:t>服务期满</w:t>
      </w:r>
      <w:r>
        <w:rPr>
          <w:rFonts w:hint="eastAsia" w:ascii="宋体" w:hAnsi="宋体" w:cs="宋体"/>
          <w:color w:val="auto"/>
          <w:sz w:val="24"/>
          <w:szCs w:val="24"/>
          <w:highlight w:val="none"/>
        </w:rPr>
        <w:t>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无息退还</w:t>
      </w:r>
      <w:r>
        <w:rPr>
          <w:rFonts w:hint="eastAsia" w:ascii="宋体" w:hAnsi="宋体" w:cs="宋体"/>
          <w:color w:val="auto"/>
          <w:sz w:val="24"/>
          <w:szCs w:val="24"/>
          <w:highlight w:val="none"/>
          <w:lang w:eastAsia="zh-CN"/>
        </w:rPr>
        <w:t>全部</w:t>
      </w:r>
      <w:r>
        <w:rPr>
          <w:rFonts w:hint="eastAsia" w:ascii="宋体" w:hAnsi="宋体" w:cs="宋体"/>
          <w:color w:val="auto"/>
          <w:sz w:val="24"/>
          <w:szCs w:val="24"/>
          <w:highlight w:val="none"/>
        </w:rPr>
        <w:t>履约保证金。</w:t>
      </w:r>
    </w:p>
    <w:bookmarkEnd w:id="108"/>
    <w:bookmarkEnd w:id="109"/>
    <w:p w14:paraId="32E0CC0F">
      <w:pPr>
        <w:snapToGrid w:val="0"/>
        <w:spacing w:line="500" w:lineRule="exact"/>
        <w:ind w:firstLine="480" w:firstLineChars="200"/>
        <w:outlineLvl w:val="0"/>
        <w:rPr>
          <w:rFonts w:ascii="宋体" w:hAnsi="宋体" w:cs="宋体"/>
          <w:b/>
          <w:bCs/>
          <w:color w:val="auto"/>
          <w:sz w:val="24"/>
          <w:szCs w:val="24"/>
          <w:highlight w:val="none"/>
        </w:rPr>
      </w:pPr>
      <w:bookmarkStart w:id="110" w:name="_Toc2467"/>
      <w:bookmarkStart w:id="111" w:name="_Toc31571"/>
      <w:bookmarkStart w:id="112" w:name="_Toc5134"/>
      <w:bookmarkStart w:id="113" w:name="_Toc13551"/>
      <w:bookmarkStart w:id="114" w:name="_Toc27861"/>
      <w:r>
        <w:rPr>
          <w:rFonts w:hint="eastAsia" w:ascii="Times New Roman" w:hAnsi="Times New Roman" w:cs="Times New Roman"/>
          <w:sz w:val="24"/>
          <w:szCs w:val="24"/>
          <w:highlight w:val="none"/>
          <w:lang w:val="en-US" w:eastAsia="zh-CN"/>
        </w:rPr>
        <w:t>四</w:t>
      </w:r>
      <w:bookmarkEnd w:id="110"/>
      <w:bookmarkEnd w:id="111"/>
      <w:bookmarkEnd w:id="112"/>
      <w:bookmarkEnd w:id="113"/>
      <w:bookmarkEnd w:id="114"/>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知识产权</w:t>
      </w:r>
    </w:p>
    <w:p w14:paraId="5AF90F56">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在中华人民共和国境内使用成交供应商提供的货物及服务时免受第三方提出的侵犯其专利权或其它知识产权的起诉。如果第三方提出侵权指控，成交供应商应承担由此而引起的一切法律责任和费用。</w:t>
      </w:r>
    </w:p>
    <w:p w14:paraId="79A44E11">
      <w:pPr>
        <w:snapToGrid w:val="0"/>
        <w:spacing w:line="500" w:lineRule="exact"/>
        <w:ind w:firstLine="482" w:firstLineChars="200"/>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cs="宋体"/>
          <w:b/>
          <w:bCs/>
          <w:color w:val="auto"/>
          <w:sz w:val="24"/>
          <w:szCs w:val="24"/>
          <w:highlight w:val="none"/>
        </w:rPr>
        <w:t>、其他</w:t>
      </w:r>
    </w:p>
    <w:p w14:paraId="4C6D7C37">
      <w:pPr>
        <w:snapToGrid w:val="0"/>
        <w:spacing w:line="500" w:lineRule="exact"/>
        <w:ind w:firstLine="480" w:firstLineChars="200"/>
        <w:outlineLvl w:val="0"/>
        <w:rPr>
          <w:rFonts w:hint="eastAsia" w:ascii="宋体" w:hAnsi="宋体" w:cs="宋体"/>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）其他未尽事宜由供需双方在采购合同中详细约定。</w:t>
      </w:r>
      <w:r>
        <w:rPr>
          <w:rFonts w:hint="eastAsia" w:ascii="宋体" w:hAnsi="宋体" w:cs="宋体"/>
          <w:color w:val="auto"/>
          <w:highlight w:val="none"/>
        </w:rPr>
        <w:br w:type="page"/>
      </w:r>
    </w:p>
    <w:p w14:paraId="57C5C09C">
      <w:pPr>
        <w:pStyle w:val="4"/>
        <w:snapToGrid/>
        <w:spacing w:before="0" w:after="0" w:line="360" w:lineRule="auto"/>
        <w:jc w:val="left"/>
        <w:outlineLvl w:val="9"/>
        <w:rPr>
          <w:rFonts w:hint="eastAsia" w:ascii="宋体" w:hAnsi="宋体" w:eastAsia="宋体" w:cs="宋体"/>
          <w:b w:val="0"/>
          <w:color w:val="auto"/>
          <w:sz w:val="36"/>
          <w:szCs w:val="30"/>
          <w:highlight w:val="none"/>
        </w:rPr>
      </w:pPr>
      <w:bookmarkStart w:id="115" w:name="_Toc23391"/>
      <w:bookmarkStart w:id="116" w:name="_Toc30007"/>
      <w:r>
        <w:rPr>
          <w:rFonts w:hint="eastAsia" w:ascii="宋体" w:hAnsi="宋体" w:eastAsia="宋体" w:cs="宋体"/>
          <w:b w:val="0"/>
          <w:color w:val="auto"/>
          <w:sz w:val="36"/>
          <w:szCs w:val="30"/>
          <w:highlight w:val="none"/>
        </w:rPr>
        <w:t>第四篇  磋商程序及方法、评审标准、无效响应和采购终止</w:t>
      </w:r>
      <w:bookmarkEnd w:id="115"/>
      <w:bookmarkEnd w:id="116"/>
    </w:p>
    <w:p w14:paraId="7D2E5C97">
      <w:pPr>
        <w:pStyle w:val="5"/>
        <w:spacing w:before="0" w:after="0" w:line="500" w:lineRule="exact"/>
        <w:ind w:firstLine="482" w:firstLineChars="200"/>
        <w:rPr>
          <w:rFonts w:ascii="宋体" w:hAnsi="宋体" w:cs="宋体"/>
          <w:color w:val="auto"/>
          <w:sz w:val="24"/>
          <w:szCs w:val="24"/>
          <w:highlight w:val="none"/>
        </w:rPr>
      </w:pPr>
      <w:bookmarkStart w:id="117" w:name="_Toc20130548"/>
      <w:bookmarkStart w:id="118" w:name="_Toc19895"/>
      <w:bookmarkStart w:id="119" w:name="_Toc1886"/>
      <w:bookmarkStart w:id="120" w:name="_Toc10006"/>
      <w:bookmarkStart w:id="121" w:name="_Toc14530"/>
      <w:r>
        <w:rPr>
          <w:rFonts w:hint="eastAsia" w:ascii="宋体" w:hAnsi="宋体" w:cs="宋体"/>
          <w:color w:val="auto"/>
          <w:sz w:val="24"/>
          <w:szCs w:val="24"/>
          <w:highlight w:val="none"/>
        </w:rPr>
        <w:t>一、磋商程序及方法</w:t>
      </w:r>
      <w:bookmarkEnd w:id="117"/>
      <w:bookmarkEnd w:id="118"/>
      <w:bookmarkEnd w:id="119"/>
      <w:bookmarkEnd w:id="120"/>
      <w:bookmarkEnd w:id="121"/>
    </w:p>
    <w:p w14:paraId="32A07D0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8B0A4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8BDE5C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16"/>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4"/>
        <w:gridCol w:w="5288"/>
      </w:tblGrid>
      <w:tr w14:paraId="67BF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vAlign w:val="center"/>
          </w:tcPr>
          <w:p w14:paraId="33FF7013">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73" w:type="dxa"/>
            <w:gridSpan w:val="2"/>
            <w:tcBorders>
              <w:top w:val="single" w:color="auto" w:sz="4" w:space="0"/>
              <w:left w:val="single" w:color="auto" w:sz="4" w:space="0"/>
              <w:bottom w:val="single" w:color="auto" w:sz="4" w:space="0"/>
              <w:right w:val="single" w:color="auto" w:sz="4" w:space="0"/>
            </w:tcBorders>
            <w:vAlign w:val="center"/>
          </w:tcPr>
          <w:p w14:paraId="287A9B45">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88" w:type="dxa"/>
            <w:tcBorders>
              <w:top w:val="single" w:color="auto" w:sz="4" w:space="0"/>
              <w:left w:val="single" w:color="auto" w:sz="4" w:space="0"/>
              <w:bottom w:val="single" w:color="auto" w:sz="4" w:space="0"/>
              <w:right w:val="single" w:color="auto" w:sz="4" w:space="0"/>
            </w:tcBorders>
            <w:vAlign w:val="center"/>
          </w:tcPr>
          <w:p w14:paraId="58D8964B">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04CD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17" w:type="dxa"/>
            <w:vMerge w:val="restart"/>
            <w:vAlign w:val="center"/>
          </w:tcPr>
          <w:p w14:paraId="7F036804">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1D04E6DE">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64" w:type="dxa"/>
            <w:vAlign w:val="center"/>
          </w:tcPr>
          <w:p w14:paraId="32280CAE">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88" w:type="dxa"/>
            <w:vAlign w:val="center"/>
          </w:tcPr>
          <w:p w14:paraId="7DFBDE07">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28F3828">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47FF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45F50FE2">
            <w:pPr>
              <w:jc w:val="center"/>
              <w:rPr>
                <w:rFonts w:ascii="宋体" w:hAnsi="宋体" w:cs="宋体"/>
                <w:color w:val="auto"/>
                <w:sz w:val="21"/>
                <w:szCs w:val="21"/>
                <w:highlight w:val="none"/>
              </w:rPr>
            </w:pPr>
          </w:p>
        </w:tc>
        <w:tc>
          <w:tcPr>
            <w:tcW w:w="709" w:type="dxa"/>
            <w:vMerge w:val="continue"/>
            <w:vAlign w:val="center"/>
          </w:tcPr>
          <w:p w14:paraId="4EFCB6C6">
            <w:pPr>
              <w:rPr>
                <w:rFonts w:ascii="宋体" w:hAnsi="宋体" w:cs="宋体"/>
                <w:color w:val="auto"/>
                <w:sz w:val="21"/>
                <w:szCs w:val="21"/>
                <w:highlight w:val="none"/>
                <w:lang w:val="zh-CN"/>
              </w:rPr>
            </w:pPr>
          </w:p>
        </w:tc>
        <w:tc>
          <w:tcPr>
            <w:tcW w:w="2964" w:type="dxa"/>
            <w:vAlign w:val="center"/>
          </w:tcPr>
          <w:p w14:paraId="70A045D6">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88" w:type="dxa"/>
            <w:vMerge w:val="restart"/>
            <w:vAlign w:val="center"/>
          </w:tcPr>
          <w:p w14:paraId="74EBDC4B">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18F8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7BE83FB5">
            <w:pPr>
              <w:jc w:val="center"/>
              <w:rPr>
                <w:rFonts w:ascii="宋体" w:hAnsi="宋体" w:cs="宋体"/>
                <w:color w:val="auto"/>
                <w:sz w:val="21"/>
                <w:szCs w:val="21"/>
                <w:highlight w:val="none"/>
              </w:rPr>
            </w:pPr>
          </w:p>
        </w:tc>
        <w:tc>
          <w:tcPr>
            <w:tcW w:w="709" w:type="dxa"/>
            <w:vMerge w:val="continue"/>
            <w:vAlign w:val="center"/>
          </w:tcPr>
          <w:p w14:paraId="507907D4">
            <w:pPr>
              <w:rPr>
                <w:rFonts w:ascii="宋体" w:hAnsi="宋体" w:cs="宋体"/>
                <w:color w:val="auto"/>
                <w:sz w:val="21"/>
                <w:szCs w:val="21"/>
                <w:highlight w:val="none"/>
                <w:lang w:val="zh-CN"/>
              </w:rPr>
            </w:pPr>
          </w:p>
        </w:tc>
        <w:tc>
          <w:tcPr>
            <w:tcW w:w="2964" w:type="dxa"/>
            <w:vAlign w:val="center"/>
          </w:tcPr>
          <w:p w14:paraId="2A3F2D4A">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88" w:type="dxa"/>
            <w:vMerge w:val="continue"/>
            <w:vAlign w:val="center"/>
          </w:tcPr>
          <w:p w14:paraId="11E6A6B3">
            <w:pPr>
              <w:rPr>
                <w:rFonts w:ascii="宋体" w:hAnsi="宋体" w:cs="宋体"/>
                <w:color w:val="auto"/>
                <w:sz w:val="21"/>
                <w:szCs w:val="21"/>
                <w:highlight w:val="none"/>
              </w:rPr>
            </w:pPr>
          </w:p>
        </w:tc>
      </w:tr>
      <w:tr w14:paraId="5777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207EC90B">
            <w:pPr>
              <w:jc w:val="center"/>
              <w:rPr>
                <w:rFonts w:ascii="宋体" w:hAnsi="宋体" w:cs="宋体"/>
                <w:color w:val="auto"/>
                <w:sz w:val="21"/>
                <w:szCs w:val="21"/>
                <w:highlight w:val="none"/>
              </w:rPr>
            </w:pPr>
          </w:p>
        </w:tc>
        <w:tc>
          <w:tcPr>
            <w:tcW w:w="709" w:type="dxa"/>
            <w:vMerge w:val="continue"/>
            <w:vAlign w:val="center"/>
          </w:tcPr>
          <w:p w14:paraId="7ED6036C">
            <w:pPr>
              <w:rPr>
                <w:rFonts w:ascii="宋体" w:hAnsi="宋体" w:cs="宋体"/>
                <w:color w:val="auto"/>
                <w:sz w:val="21"/>
                <w:szCs w:val="21"/>
                <w:highlight w:val="none"/>
                <w:lang w:val="zh-CN"/>
              </w:rPr>
            </w:pPr>
          </w:p>
        </w:tc>
        <w:tc>
          <w:tcPr>
            <w:tcW w:w="2964" w:type="dxa"/>
            <w:vAlign w:val="center"/>
          </w:tcPr>
          <w:p w14:paraId="683C1E16">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88" w:type="dxa"/>
            <w:vMerge w:val="continue"/>
            <w:vAlign w:val="center"/>
          </w:tcPr>
          <w:p w14:paraId="73232306">
            <w:pPr>
              <w:rPr>
                <w:rFonts w:ascii="宋体" w:hAnsi="宋体" w:cs="宋体"/>
                <w:color w:val="auto"/>
                <w:sz w:val="21"/>
                <w:szCs w:val="21"/>
                <w:highlight w:val="none"/>
              </w:rPr>
            </w:pPr>
          </w:p>
        </w:tc>
      </w:tr>
      <w:tr w14:paraId="2784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continue"/>
            <w:vAlign w:val="center"/>
          </w:tcPr>
          <w:p w14:paraId="1E5EF0C6">
            <w:pPr>
              <w:jc w:val="center"/>
              <w:rPr>
                <w:rFonts w:ascii="宋体" w:hAnsi="宋体" w:cs="宋体"/>
                <w:color w:val="auto"/>
                <w:sz w:val="21"/>
                <w:szCs w:val="21"/>
                <w:highlight w:val="none"/>
              </w:rPr>
            </w:pPr>
          </w:p>
        </w:tc>
        <w:tc>
          <w:tcPr>
            <w:tcW w:w="709" w:type="dxa"/>
            <w:vMerge w:val="continue"/>
            <w:vAlign w:val="center"/>
          </w:tcPr>
          <w:p w14:paraId="572D04B5">
            <w:pPr>
              <w:rPr>
                <w:rFonts w:ascii="宋体" w:hAnsi="宋体" w:cs="宋体"/>
                <w:color w:val="auto"/>
                <w:sz w:val="21"/>
                <w:szCs w:val="21"/>
                <w:highlight w:val="none"/>
                <w:lang w:val="zh-CN"/>
              </w:rPr>
            </w:pPr>
          </w:p>
        </w:tc>
        <w:tc>
          <w:tcPr>
            <w:tcW w:w="2964" w:type="dxa"/>
            <w:vAlign w:val="center"/>
          </w:tcPr>
          <w:p w14:paraId="7A5D88DA">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88" w:type="dxa"/>
            <w:vMerge w:val="continue"/>
            <w:vAlign w:val="center"/>
          </w:tcPr>
          <w:p w14:paraId="4932F5D4">
            <w:pPr>
              <w:rPr>
                <w:rFonts w:ascii="宋体" w:hAnsi="宋体" w:cs="宋体"/>
                <w:b/>
                <w:color w:val="auto"/>
                <w:sz w:val="21"/>
                <w:szCs w:val="21"/>
                <w:highlight w:val="none"/>
              </w:rPr>
            </w:pPr>
          </w:p>
        </w:tc>
      </w:tr>
      <w:tr w14:paraId="3AB4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1081C414">
            <w:pPr>
              <w:jc w:val="center"/>
              <w:rPr>
                <w:rFonts w:ascii="宋体" w:hAnsi="宋体" w:cs="宋体"/>
                <w:color w:val="auto"/>
                <w:sz w:val="21"/>
                <w:szCs w:val="21"/>
                <w:highlight w:val="none"/>
              </w:rPr>
            </w:pPr>
          </w:p>
        </w:tc>
        <w:tc>
          <w:tcPr>
            <w:tcW w:w="709" w:type="dxa"/>
            <w:vMerge w:val="continue"/>
            <w:vAlign w:val="center"/>
          </w:tcPr>
          <w:p w14:paraId="257E7DDB">
            <w:pPr>
              <w:rPr>
                <w:rFonts w:ascii="宋体" w:hAnsi="宋体" w:cs="宋体"/>
                <w:color w:val="auto"/>
                <w:sz w:val="21"/>
                <w:szCs w:val="21"/>
                <w:highlight w:val="none"/>
              </w:rPr>
            </w:pPr>
          </w:p>
        </w:tc>
        <w:tc>
          <w:tcPr>
            <w:tcW w:w="2964" w:type="dxa"/>
            <w:vAlign w:val="center"/>
          </w:tcPr>
          <w:p w14:paraId="1B7399F6">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88" w:type="dxa"/>
            <w:vAlign w:val="center"/>
          </w:tcPr>
          <w:p w14:paraId="3F50CFEB">
            <w:pPr>
              <w:rPr>
                <w:rFonts w:ascii="宋体" w:hAnsi="宋体" w:cs="宋体"/>
                <w:color w:val="auto"/>
                <w:sz w:val="21"/>
                <w:szCs w:val="21"/>
                <w:highlight w:val="none"/>
              </w:rPr>
            </w:pPr>
          </w:p>
        </w:tc>
      </w:tr>
      <w:tr w14:paraId="479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0D5BBA62">
            <w:pPr>
              <w:jc w:val="center"/>
              <w:rPr>
                <w:rFonts w:ascii="宋体" w:hAnsi="宋体" w:cs="宋体"/>
                <w:color w:val="auto"/>
                <w:sz w:val="21"/>
                <w:szCs w:val="21"/>
                <w:highlight w:val="none"/>
              </w:rPr>
            </w:pPr>
          </w:p>
        </w:tc>
        <w:tc>
          <w:tcPr>
            <w:tcW w:w="709" w:type="dxa"/>
            <w:vMerge w:val="continue"/>
            <w:vAlign w:val="center"/>
          </w:tcPr>
          <w:p w14:paraId="4AF83007">
            <w:pPr>
              <w:rPr>
                <w:rFonts w:ascii="宋体" w:hAnsi="宋体" w:cs="宋体"/>
                <w:color w:val="auto"/>
                <w:sz w:val="21"/>
                <w:szCs w:val="21"/>
                <w:highlight w:val="none"/>
              </w:rPr>
            </w:pPr>
          </w:p>
        </w:tc>
        <w:tc>
          <w:tcPr>
            <w:tcW w:w="2964" w:type="dxa"/>
            <w:vAlign w:val="center"/>
          </w:tcPr>
          <w:p w14:paraId="1829872E">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88" w:type="dxa"/>
            <w:vAlign w:val="center"/>
          </w:tcPr>
          <w:p w14:paraId="5D17035B">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6DF3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vAlign w:val="center"/>
          </w:tcPr>
          <w:p w14:paraId="4A4488A1">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73" w:type="dxa"/>
            <w:gridSpan w:val="2"/>
            <w:vAlign w:val="center"/>
          </w:tcPr>
          <w:p w14:paraId="50F9AA24">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88" w:type="dxa"/>
            <w:vAlign w:val="center"/>
          </w:tcPr>
          <w:p w14:paraId="0A84D12D">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0C8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Align w:val="center"/>
          </w:tcPr>
          <w:p w14:paraId="289D3C43">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73" w:type="dxa"/>
            <w:gridSpan w:val="2"/>
            <w:vAlign w:val="center"/>
          </w:tcPr>
          <w:p w14:paraId="176DEA8D">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88" w:type="dxa"/>
            <w:vAlign w:val="center"/>
          </w:tcPr>
          <w:p w14:paraId="532AF397">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14:paraId="77B09B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53CCB630">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5689426">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69"/>
        <w:gridCol w:w="1990"/>
        <w:gridCol w:w="5206"/>
      </w:tblGrid>
      <w:tr w14:paraId="7C93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3" w:type="dxa"/>
            <w:vAlign w:val="center"/>
          </w:tcPr>
          <w:p w14:paraId="6B48EA08">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59" w:type="dxa"/>
            <w:gridSpan w:val="2"/>
            <w:vAlign w:val="center"/>
          </w:tcPr>
          <w:p w14:paraId="13D5F6BB">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06" w:type="dxa"/>
            <w:vAlign w:val="center"/>
          </w:tcPr>
          <w:p w14:paraId="610D6F9B">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562C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3" w:type="dxa"/>
            <w:vMerge w:val="restart"/>
            <w:vAlign w:val="center"/>
          </w:tcPr>
          <w:p w14:paraId="663BF2F3">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9" w:type="dxa"/>
            <w:vMerge w:val="restart"/>
            <w:vAlign w:val="center"/>
          </w:tcPr>
          <w:p w14:paraId="47A405B4">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0" w:type="dxa"/>
            <w:vAlign w:val="center"/>
          </w:tcPr>
          <w:p w14:paraId="14146E59">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206" w:type="dxa"/>
            <w:vAlign w:val="center"/>
          </w:tcPr>
          <w:p w14:paraId="1C7A457D">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4964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3" w:type="dxa"/>
            <w:vMerge w:val="continue"/>
            <w:vAlign w:val="center"/>
          </w:tcPr>
          <w:p w14:paraId="2A3D753D">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4963F275">
            <w:pPr>
              <w:spacing w:line="240" w:lineRule="exact"/>
              <w:rPr>
                <w:rFonts w:ascii="宋体" w:hAnsi="宋体" w:cs="宋体"/>
                <w:color w:val="auto"/>
                <w:kern w:val="0"/>
                <w:sz w:val="21"/>
                <w:szCs w:val="21"/>
                <w:highlight w:val="none"/>
              </w:rPr>
            </w:pPr>
          </w:p>
        </w:tc>
        <w:tc>
          <w:tcPr>
            <w:tcW w:w="1990" w:type="dxa"/>
            <w:vAlign w:val="center"/>
          </w:tcPr>
          <w:p w14:paraId="0A31BA54">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206" w:type="dxa"/>
            <w:vAlign w:val="center"/>
          </w:tcPr>
          <w:p w14:paraId="37C26B77">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3357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Merge w:val="continue"/>
            <w:vAlign w:val="center"/>
          </w:tcPr>
          <w:p w14:paraId="787B7CBD">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368C131D">
            <w:pPr>
              <w:spacing w:line="240" w:lineRule="exact"/>
              <w:rPr>
                <w:rFonts w:ascii="宋体" w:hAnsi="宋体" w:cs="宋体"/>
                <w:color w:val="auto"/>
                <w:kern w:val="0"/>
                <w:sz w:val="21"/>
                <w:szCs w:val="21"/>
                <w:highlight w:val="none"/>
              </w:rPr>
            </w:pPr>
          </w:p>
        </w:tc>
        <w:tc>
          <w:tcPr>
            <w:tcW w:w="1990" w:type="dxa"/>
            <w:vAlign w:val="center"/>
          </w:tcPr>
          <w:p w14:paraId="77E38D09">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206" w:type="dxa"/>
            <w:vAlign w:val="center"/>
          </w:tcPr>
          <w:p w14:paraId="7189103A">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14:paraId="6ED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3" w:type="dxa"/>
            <w:vMerge w:val="continue"/>
            <w:vAlign w:val="center"/>
          </w:tcPr>
          <w:p w14:paraId="1D92678A">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3432F9D9">
            <w:pPr>
              <w:spacing w:line="240" w:lineRule="exact"/>
              <w:rPr>
                <w:rFonts w:ascii="宋体" w:hAnsi="宋体" w:cs="宋体"/>
                <w:color w:val="auto"/>
                <w:kern w:val="0"/>
                <w:sz w:val="21"/>
                <w:szCs w:val="21"/>
                <w:highlight w:val="none"/>
              </w:rPr>
            </w:pPr>
          </w:p>
        </w:tc>
        <w:tc>
          <w:tcPr>
            <w:tcW w:w="1990" w:type="dxa"/>
            <w:vAlign w:val="center"/>
          </w:tcPr>
          <w:p w14:paraId="7E6A938E">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206" w:type="dxa"/>
            <w:vAlign w:val="center"/>
          </w:tcPr>
          <w:p w14:paraId="51C1723E">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14:paraId="4B77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3" w:type="dxa"/>
            <w:vAlign w:val="center"/>
          </w:tcPr>
          <w:p w14:paraId="0D9A4D28">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9" w:type="dxa"/>
            <w:vAlign w:val="center"/>
          </w:tcPr>
          <w:p w14:paraId="570E205D">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0" w:type="dxa"/>
            <w:vAlign w:val="center"/>
          </w:tcPr>
          <w:p w14:paraId="6FEC37C0">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206" w:type="dxa"/>
            <w:vAlign w:val="center"/>
          </w:tcPr>
          <w:p w14:paraId="0564A98D">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14:paraId="71B4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vMerge w:val="restart"/>
            <w:vAlign w:val="center"/>
          </w:tcPr>
          <w:p w14:paraId="7E9CC813">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9" w:type="dxa"/>
            <w:vMerge w:val="restart"/>
            <w:vAlign w:val="center"/>
          </w:tcPr>
          <w:p w14:paraId="0D958B5E">
            <w:pPr>
              <w:spacing w:line="240" w:lineRule="exact"/>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90" w:type="dxa"/>
            <w:vAlign w:val="center"/>
          </w:tcPr>
          <w:p w14:paraId="7C7E3EAC">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06" w:type="dxa"/>
            <w:vAlign w:val="center"/>
          </w:tcPr>
          <w:p w14:paraId="52A4B191">
            <w:pPr>
              <w:pStyle w:val="11"/>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竞争性磋商文件第二篇、第三篇“※”标注部分。</w:t>
            </w:r>
          </w:p>
        </w:tc>
      </w:tr>
      <w:tr w14:paraId="05D4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3" w:type="dxa"/>
            <w:vMerge w:val="continue"/>
            <w:vAlign w:val="center"/>
          </w:tcPr>
          <w:p w14:paraId="329F2419">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49E7E522">
            <w:pPr>
              <w:spacing w:line="240" w:lineRule="exact"/>
              <w:rPr>
                <w:rFonts w:ascii="宋体" w:hAnsi="宋体" w:cs="宋体"/>
                <w:color w:val="auto"/>
                <w:sz w:val="21"/>
                <w:szCs w:val="21"/>
                <w:highlight w:val="none"/>
                <w:lang w:val="zh-CN"/>
              </w:rPr>
            </w:pPr>
          </w:p>
        </w:tc>
        <w:tc>
          <w:tcPr>
            <w:tcW w:w="1990" w:type="dxa"/>
            <w:vAlign w:val="center"/>
          </w:tcPr>
          <w:p w14:paraId="0A4A23F6">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06" w:type="dxa"/>
            <w:vAlign w:val="center"/>
          </w:tcPr>
          <w:p w14:paraId="002B897D">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30D42F0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式管理暂行办法有关问题的补充通知》（财库〔2015〕124号）采用竞争性磋商</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式采购的政府购买服务项目（含政府和社会资本合作项目），在采购过程中符合要求的供应商（社会资本）只有2家的，竞争性磋商采购活动可以继续进行。</w:t>
      </w:r>
    </w:p>
    <w:p w14:paraId="22E8E64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8536A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649E05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0D8470F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代表确认。对竞争性磋商文件作出的实质性变动是竞争性磋商文件的有效组成部分，磋商小组应当及时以书面形式同时通知所有参加磋商的供应商。</w:t>
      </w:r>
    </w:p>
    <w:p w14:paraId="4862289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4105174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016928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703B6A0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261C3B88">
      <w:pPr>
        <w:pStyle w:val="5"/>
        <w:spacing w:before="0" w:after="0" w:line="440" w:lineRule="exact"/>
        <w:ind w:firstLine="482" w:firstLineChars="200"/>
        <w:rPr>
          <w:rFonts w:hint="eastAsia" w:ascii="宋体" w:hAnsi="宋体" w:cs="宋体"/>
          <w:color w:val="auto"/>
          <w:sz w:val="24"/>
          <w:szCs w:val="24"/>
          <w:highlight w:val="none"/>
        </w:rPr>
      </w:pPr>
      <w:bookmarkStart w:id="122" w:name="_Toc18088"/>
      <w:bookmarkStart w:id="123" w:name="_Toc29932"/>
      <w:bookmarkStart w:id="124" w:name="_Toc31646"/>
      <w:bookmarkStart w:id="125" w:name="_Toc20130549"/>
      <w:bookmarkStart w:id="126" w:name="_Toc1499"/>
      <w:r>
        <w:rPr>
          <w:rFonts w:hint="eastAsia" w:ascii="宋体" w:hAnsi="宋体" w:cs="宋体"/>
          <w:color w:val="auto"/>
          <w:sz w:val="24"/>
          <w:szCs w:val="24"/>
          <w:highlight w:val="none"/>
        </w:rPr>
        <w:t>二、评审标准</w:t>
      </w:r>
      <w:bookmarkEnd w:id="122"/>
      <w:bookmarkEnd w:id="123"/>
      <w:bookmarkEnd w:id="124"/>
      <w:bookmarkEnd w:id="125"/>
      <w:bookmarkEnd w:id="126"/>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138"/>
        <w:gridCol w:w="1167"/>
        <w:gridCol w:w="4505"/>
        <w:gridCol w:w="2236"/>
      </w:tblGrid>
      <w:tr w14:paraId="1CBE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353" w:type="pct"/>
            <w:vAlign w:val="center"/>
          </w:tcPr>
          <w:p w14:paraId="6D99DDC0">
            <w:pPr>
              <w:spacing w:line="240" w:lineRule="atLeast"/>
              <w:ind w:firstLine="28" w:firstLineChars="0"/>
              <w:jc w:val="center"/>
              <w:rPr>
                <w:rFonts w:hint="eastAsia" w:eastAsia="宋体"/>
                <w:vertAlign w:val="baseline"/>
                <w:lang w:val="en-US" w:eastAsia="zh-CN"/>
              </w:rPr>
            </w:pPr>
            <w:r>
              <w:rPr>
                <w:rFonts w:hint="eastAsia" w:ascii="宋体" w:hAnsi="宋体" w:cs="宋体"/>
                <w:b/>
                <w:sz w:val="21"/>
                <w:szCs w:val="21"/>
              </w:rPr>
              <w:t>序号</w:t>
            </w:r>
          </w:p>
        </w:tc>
        <w:tc>
          <w:tcPr>
            <w:tcW w:w="584" w:type="pct"/>
            <w:vAlign w:val="center"/>
          </w:tcPr>
          <w:p w14:paraId="22002220">
            <w:pPr>
              <w:spacing w:line="240" w:lineRule="atLeast"/>
              <w:ind w:firstLine="28"/>
              <w:jc w:val="center"/>
              <w:rPr>
                <w:rFonts w:ascii="宋体" w:hAnsi="宋体" w:cs="宋体"/>
                <w:b/>
                <w:sz w:val="21"/>
                <w:szCs w:val="21"/>
              </w:rPr>
            </w:pPr>
            <w:r>
              <w:rPr>
                <w:rFonts w:hint="eastAsia" w:ascii="宋体" w:hAnsi="宋体" w:cs="宋体"/>
                <w:b/>
                <w:sz w:val="21"/>
                <w:szCs w:val="21"/>
              </w:rPr>
              <w:t>评分因素</w:t>
            </w:r>
          </w:p>
          <w:p w14:paraId="7D11E027">
            <w:pPr>
              <w:spacing w:line="240" w:lineRule="atLeast"/>
              <w:ind w:firstLine="28" w:firstLineChars="0"/>
              <w:jc w:val="center"/>
              <w:rPr>
                <w:vertAlign w:val="baseline"/>
              </w:rPr>
            </w:pPr>
            <w:r>
              <w:rPr>
                <w:rFonts w:hint="eastAsia" w:ascii="宋体" w:hAnsi="宋体" w:cs="宋体"/>
                <w:b/>
                <w:sz w:val="21"/>
                <w:szCs w:val="21"/>
              </w:rPr>
              <w:t>及权值</w:t>
            </w:r>
          </w:p>
        </w:tc>
        <w:tc>
          <w:tcPr>
            <w:tcW w:w="599" w:type="pct"/>
            <w:vAlign w:val="center"/>
          </w:tcPr>
          <w:p w14:paraId="056EF719">
            <w:pPr>
              <w:spacing w:line="240" w:lineRule="atLeast"/>
              <w:ind w:firstLine="28" w:firstLineChars="0"/>
              <w:jc w:val="center"/>
              <w:rPr>
                <w:vertAlign w:val="baseline"/>
              </w:rPr>
            </w:pPr>
            <w:r>
              <w:rPr>
                <w:rFonts w:hint="eastAsia" w:ascii="宋体" w:hAnsi="宋体" w:cs="宋体"/>
                <w:b/>
                <w:sz w:val="21"/>
                <w:szCs w:val="21"/>
              </w:rPr>
              <w:t>分值</w:t>
            </w:r>
          </w:p>
        </w:tc>
        <w:tc>
          <w:tcPr>
            <w:tcW w:w="2313" w:type="pct"/>
            <w:vAlign w:val="center"/>
          </w:tcPr>
          <w:p w14:paraId="2E763B12">
            <w:pPr>
              <w:spacing w:line="240" w:lineRule="atLeast"/>
              <w:ind w:firstLine="28" w:firstLineChars="0"/>
              <w:jc w:val="center"/>
              <w:rPr>
                <w:vertAlign w:val="baseline"/>
              </w:rPr>
            </w:pPr>
            <w:r>
              <w:rPr>
                <w:rFonts w:hint="eastAsia" w:ascii="宋体" w:hAnsi="宋体" w:cs="宋体"/>
                <w:b/>
                <w:sz w:val="21"/>
                <w:szCs w:val="21"/>
              </w:rPr>
              <w:t>评分标准</w:t>
            </w:r>
          </w:p>
        </w:tc>
        <w:tc>
          <w:tcPr>
            <w:tcW w:w="1148" w:type="pct"/>
            <w:vAlign w:val="center"/>
          </w:tcPr>
          <w:p w14:paraId="30EB6A2E">
            <w:pPr>
              <w:pStyle w:val="21"/>
              <w:spacing w:before="0" w:after="0" w:line="240" w:lineRule="atLeast"/>
              <w:rPr>
                <w:vertAlign w:val="baseline"/>
              </w:rPr>
            </w:pPr>
            <w:r>
              <w:rPr>
                <w:rFonts w:hint="eastAsia" w:ascii="宋体" w:hAnsi="宋体" w:eastAsia="宋体" w:cs="宋体"/>
                <w:sz w:val="21"/>
                <w:szCs w:val="21"/>
              </w:rPr>
              <w:t>说明</w:t>
            </w:r>
          </w:p>
        </w:tc>
      </w:tr>
      <w:tr w14:paraId="2A0C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53" w:type="pct"/>
            <w:vAlign w:val="center"/>
          </w:tcPr>
          <w:p w14:paraId="6D5A5B99">
            <w:pPr>
              <w:spacing w:line="360" w:lineRule="auto"/>
              <w:ind w:firstLine="28" w:firstLineChars="0"/>
              <w:jc w:val="center"/>
              <w:rPr>
                <w:vertAlign w:val="baseline"/>
              </w:rPr>
            </w:pPr>
            <w:r>
              <w:rPr>
                <w:rFonts w:hint="eastAsia" w:ascii="宋体" w:hAnsi="宋体" w:cs="宋体"/>
                <w:sz w:val="21"/>
                <w:szCs w:val="21"/>
              </w:rPr>
              <w:t>1</w:t>
            </w:r>
          </w:p>
        </w:tc>
        <w:tc>
          <w:tcPr>
            <w:tcW w:w="584" w:type="pct"/>
            <w:vAlign w:val="center"/>
          </w:tcPr>
          <w:p w14:paraId="2A593320">
            <w:pPr>
              <w:spacing w:line="360" w:lineRule="auto"/>
              <w:ind w:firstLine="28"/>
              <w:jc w:val="center"/>
              <w:rPr>
                <w:rFonts w:ascii="宋体" w:hAnsi="宋体" w:cs="宋体"/>
                <w:sz w:val="21"/>
                <w:szCs w:val="21"/>
              </w:rPr>
            </w:pPr>
            <w:r>
              <w:rPr>
                <w:rFonts w:hint="eastAsia" w:ascii="宋体" w:hAnsi="宋体" w:cs="宋体"/>
                <w:sz w:val="21"/>
                <w:szCs w:val="21"/>
              </w:rPr>
              <w:t>磋商报价</w:t>
            </w:r>
          </w:p>
          <w:p w14:paraId="307D396B">
            <w:pPr>
              <w:spacing w:line="360" w:lineRule="auto"/>
              <w:ind w:firstLine="28" w:firstLineChars="0"/>
              <w:jc w:val="center"/>
              <w:rPr>
                <w:vertAlign w:val="baseline"/>
              </w:rPr>
            </w:pPr>
            <w:r>
              <w:rPr>
                <w:rFonts w:hint="eastAsia" w:ascii="宋体" w:hAnsi="宋体" w:cs="宋体"/>
                <w:sz w:val="21"/>
                <w:szCs w:val="21"/>
              </w:rPr>
              <w:t>（</w:t>
            </w:r>
            <w:r>
              <w:rPr>
                <w:rFonts w:hint="eastAsia" w:ascii="宋体" w:hAnsi="宋体" w:cs="宋体"/>
                <w:sz w:val="21"/>
                <w:szCs w:val="21"/>
                <w:lang w:val="en-US" w:eastAsia="zh-CN"/>
              </w:rPr>
              <w:t>20</w:t>
            </w:r>
            <w:r>
              <w:rPr>
                <w:rFonts w:hint="eastAsia" w:ascii="宋体" w:hAnsi="宋体" w:cs="宋体"/>
                <w:sz w:val="21"/>
                <w:szCs w:val="21"/>
              </w:rPr>
              <w:t>%）</w:t>
            </w:r>
          </w:p>
        </w:tc>
        <w:tc>
          <w:tcPr>
            <w:tcW w:w="599" w:type="pct"/>
            <w:vAlign w:val="center"/>
          </w:tcPr>
          <w:p w14:paraId="47482E06">
            <w:pPr>
              <w:spacing w:line="360" w:lineRule="auto"/>
              <w:ind w:firstLine="28" w:firstLineChars="0"/>
              <w:jc w:val="center"/>
              <w:rPr>
                <w:vertAlign w:val="baseline"/>
              </w:rPr>
            </w:pPr>
            <w:r>
              <w:rPr>
                <w:rFonts w:hint="eastAsia" w:ascii="宋体" w:hAnsi="宋体" w:cs="宋体"/>
                <w:sz w:val="21"/>
                <w:szCs w:val="21"/>
                <w:lang w:val="en-US" w:eastAsia="zh-CN"/>
              </w:rPr>
              <w:t>20</w:t>
            </w:r>
            <w:r>
              <w:rPr>
                <w:rFonts w:hint="eastAsia" w:ascii="宋体" w:hAnsi="宋体" w:cs="宋体"/>
                <w:sz w:val="21"/>
                <w:szCs w:val="21"/>
              </w:rPr>
              <w:t>分</w:t>
            </w:r>
          </w:p>
        </w:tc>
        <w:tc>
          <w:tcPr>
            <w:tcW w:w="2313" w:type="pct"/>
            <w:vAlign w:val="center"/>
          </w:tcPr>
          <w:p w14:paraId="02D7A54A">
            <w:pPr>
              <w:spacing w:line="360" w:lineRule="auto"/>
              <w:ind w:firstLine="420" w:firstLineChars="200"/>
              <w:rPr>
                <w:rFonts w:ascii="宋体" w:hAnsi="宋体" w:cs="宋体"/>
                <w:sz w:val="21"/>
                <w:szCs w:val="21"/>
              </w:rPr>
            </w:pPr>
            <w:r>
              <w:rPr>
                <w:rFonts w:hint="eastAsia" w:ascii="宋体" w:hAnsi="宋体" w:cs="宋体"/>
                <w:sz w:val="21"/>
                <w:szCs w:val="21"/>
              </w:rPr>
              <w:t>满足资格性、符合性要求且最后报价最低的供应商的价格为磋商基准价，其价格分为满分。其他供应商的价格分统一按照下列公式计算：</w:t>
            </w:r>
          </w:p>
          <w:p w14:paraId="41149ED5">
            <w:pPr>
              <w:spacing w:line="360" w:lineRule="auto"/>
              <w:ind w:firstLine="420" w:firstLineChars="200"/>
              <w:rPr>
                <w:vertAlign w:val="baseline"/>
              </w:rPr>
            </w:pPr>
            <w:r>
              <w:rPr>
                <w:rFonts w:hint="eastAsia" w:ascii="宋体" w:hAnsi="宋体" w:cs="宋体"/>
                <w:sz w:val="21"/>
                <w:szCs w:val="21"/>
              </w:rPr>
              <w:t>磋商报价得分=（磋商基准价/最后磋商报价）×价格权值×100</w:t>
            </w:r>
          </w:p>
        </w:tc>
        <w:tc>
          <w:tcPr>
            <w:tcW w:w="1148" w:type="pct"/>
            <w:vAlign w:val="center"/>
          </w:tcPr>
          <w:p w14:paraId="23141099">
            <w:pPr>
              <w:spacing w:line="360" w:lineRule="auto"/>
              <w:ind w:left="-38" w:leftChars="0"/>
              <w:rPr>
                <w:vertAlign w:val="baseline"/>
              </w:rPr>
            </w:pPr>
            <w:r>
              <w:rPr>
                <w:rFonts w:hint="eastAsia" w:ascii="宋体" w:hAnsi="宋体" w:cs="宋体"/>
                <w:sz w:val="21"/>
                <w:szCs w:val="21"/>
              </w:rPr>
              <w:t>对小微企业的价格用扣除后的价格参与评审，详见“注：关于小微企业报价扣除比例说明”。</w:t>
            </w:r>
          </w:p>
        </w:tc>
      </w:tr>
      <w:tr w14:paraId="72DF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53" w:type="pct"/>
            <w:vMerge w:val="restart"/>
            <w:vAlign w:val="center"/>
          </w:tcPr>
          <w:p w14:paraId="1BDFCC26">
            <w:pPr>
              <w:spacing w:line="240" w:lineRule="auto"/>
              <w:ind w:firstLine="28" w:firstLineChars="0"/>
              <w:jc w:val="center"/>
              <w:rPr>
                <w:vertAlign w:val="baseline"/>
              </w:rPr>
            </w:pPr>
            <w:r>
              <w:rPr>
                <w:rFonts w:hint="eastAsia" w:ascii="宋体" w:hAnsi="宋体" w:cs="宋体"/>
                <w:sz w:val="21"/>
                <w:szCs w:val="21"/>
              </w:rPr>
              <w:t>2</w:t>
            </w:r>
          </w:p>
        </w:tc>
        <w:tc>
          <w:tcPr>
            <w:tcW w:w="584" w:type="pct"/>
            <w:vMerge w:val="restart"/>
            <w:vAlign w:val="center"/>
          </w:tcPr>
          <w:p w14:paraId="3B39F766">
            <w:pPr>
              <w:spacing w:line="240" w:lineRule="auto"/>
              <w:ind w:firstLine="28"/>
              <w:jc w:val="center"/>
              <w:rPr>
                <w:rFonts w:ascii="宋体" w:hAnsi="宋体" w:cs="宋体"/>
                <w:sz w:val="21"/>
                <w:szCs w:val="21"/>
              </w:rPr>
            </w:pPr>
            <w:r>
              <w:rPr>
                <w:rFonts w:hint="eastAsia" w:ascii="宋体" w:hAnsi="宋体" w:cs="宋体"/>
                <w:sz w:val="21"/>
                <w:szCs w:val="21"/>
              </w:rPr>
              <w:t>技术部分</w:t>
            </w:r>
          </w:p>
          <w:p w14:paraId="1731A979">
            <w:pPr>
              <w:spacing w:line="240" w:lineRule="auto"/>
              <w:ind w:firstLine="28" w:firstLineChars="0"/>
              <w:jc w:val="center"/>
              <w:rPr>
                <w:vertAlign w:val="baseline"/>
              </w:rPr>
            </w:pPr>
            <w:r>
              <w:rPr>
                <w:rFonts w:hint="eastAsia" w:ascii="宋体" w:hAnsi="宋体" w:cs="宋体"/>
                <w:sz w:val="21"/>
                <w:szCs w:val="21"/>
              </w:rPr>
              <w:t>（</w:t>
            </w:r>
            <w:r>
              <w:rPr>
                <w:rFonts w:hint="eastAsia" w:ascii="宋体" w:hAnsi="宋体" w:cs="宋体"/>
                <w:sz w:val="21"/>
                <w:szCs w:val="21"/>
                <w:lang w:val="en-US" w:eastAsia="zh-CN"/>
              </w:rPr>
              <w:t>69</w:t>
            </w:r>
            <w:r>
              <w:rPr>
                <w:rFonts w:hint="eastAsia" w:ascii="宋体" w:hAnsi="宋体" w:cs="宋体"/>
                <w:sz w:val="21"/>
                <w:szCs w:val="21"/>
              </w:rPr>
              <w:t>%）</w:t>
            </w:r>
          </w:p>
        </w:tc>
        <w:tc>
          <w:tcPr>
            <w:tcW w:w="599" w:type="pct"/>
            <w:vMerge w:val="restart"/>
            <w:vAlign w:val="center"/>
          </w:tcPr>
          <w:p w14:paraId="0E51E2AE">
            <w:pPr>
              <w:spacing w:line="240" w:lineRule="auto"/>
              <w:ind w:firstLine="28" w:firstLineChars="0"/>
              <w:jc w:val="center"/>
              <w:rPr>
                <w:vertAlign w:val="baseline"/>
              </w:rPr>
            </w:pPr>
            <w:r>
              <w:rPr>
                <w:rFonts w:hint="eastAsia" w:ascii="宋体" w:hAnsi="宋体" w:cs="宋体"/>
                <w:sz w:val="21"/>
                <w:szCs w:val="21"/>
                <w:lang w:val="en-US" w:eastAsia="zh-CN"/>
              </w:rPr>
              <w:t>69</w:t>
            </w:r>
            <w:r>
              <w:rPr>
                <w:rFonts w:hint="eastAsia" w:ascii="宋体" w:hAnsi="宋体" w:cs="宋体"/>
                <w:sz w:val="21"/>
                <w:szCs w:val="21"/>
              </w:rPr>
              <w:t>分</w:t>
            </w:r>
          </w:p>
        </w:tc>
        <w:tc>
          <w:tcPr>
            <w:tcW w:w="2313" w:type="pct"/>
            <w:vAlign w:val="center"/>
          </w:tcPr>
          <w:p w14:paraId="667BFC1A">
            <w:pPr>
              <w:spacing w:line="360" w:lineRule="auto"/>
              <w:rPr>
                <w:rFonts w:ascii="宋体" w:hAnsi="宋体" w:cs="宋体"/>
                <w:sz w:val="21"/>
                <w:szCs w:val="21"/>
              </w:rPr>
            </w:pPr>
            <w:r>
              <w:rPr>
                <w:rFonts w:hint="eastAsia" w:ascii="宋体" w:hAnsi="宋体" w:cs="宋体"/>
                <w:sz w:val="21"/>
                <w:szCs w:val="21"/>
              </w:rPr>
              <w:t>A</w:t>
            </w:r>
            <w:r>
              <w:rPr>
                <w:rFonts w:hint="eastAsia" w:ascii="宋体" w:hAnsi="宋体" w:cs="宋体"/>
                <w:sz w:val="21"/>
                <w:szCs w:val="21"/>
                <w:lang w:eastAsia="zh-CN"/>
              </w:rPr>
              <w:t>、</w:t>
            </w:r>
            <w:r>
              <w:rPr>
                <w:rFonts w:hint="eastAsia" w:ascii="宋体" w:hAnsi="宋体" w:cs="宋体"/>
                <w:sz w:val="21"/>
                <w:szCs w:val="21"/>
              </w:rPr>
              <w:t>起评分：</w:t>
            </w:r>
          </w:p>
          <w:p w14:paraId="3EDE76B9">
            <w:pPr>
              <w:spacing w:line="360" w:lineRule="auto"/>
              <w:ind w:firstLine="420" w:firstLineChars="200"/>
              <w:rPr>
                <w:vertAlign w:val="baseline"/>
              </w:rPr>
            </w:pPr>
            <w:r>
              <w:rPr>
                <w:rFonts w:hint="eastAsia" w:ascii="宋体" w:hAnsi="宋体" w:cs="宋体"/>
                <w:sz w:val="21"/>
                <w:szCs w:val="21"/>
                <w:lang w:val="en-US" w:eastAsia="zh-CN"/>
              </w:rPr>
              <w:t>合格</w:t>
            </w:r>
            <w:r>
              <w:rPr>
                <w:rFonts w:hint="eastAsia" w:ascii="宋体" w:hAnsi="宋体" w:cs="宋体"/>
                <w:sz w:val="21"/>
                <w:szCs w:val="21"/>
              </w:rPr>
              <w:t>供应商的起评分为</w:t>
            </w:r>
            <w:r>
              <w:rPr>
                <w:rFonts w:hint="eastAsia" w:ascii="宋体" w:hAnsi="宋体" w:cs="宋体"/>
                <w:sz w:val="21"/>
                <w:szCs w:val="21"/>
                <w:lang w:val="en-US" w:eastAsia="zh-CN"/>
              </w:rPr>
              <w:t>34</w:t>
            </w:r>
            <w:r>
              <w:rPr>
                <w:rFonts w:hint="eastAsia" w:ascii="宋体" w:hAnsi="宋体" w:cs="宋体"/>
                <w:sz w:val="21"/>
                <w:szCs w:val="21"/>
              </w:rPr>
              <w:t>分。</w:t>
            </w:r>
          </w:p>
        </w:tc>
        <w:tc>
          <w:tcPr>
            <w:tcW w:w="1148" w:type="pct"/>
            <w:vAlign w:val="center"/>
          </w:tcPr>
          <w:p w14:paraId="08DFE7AE">
            <w:pPr>
              <w:spacing w:line="240" w:lineRule="atLeast"/>
              <w:ind w:left="-38" w:leftChars="0"/>
              <w:rPr>
                <w:vertAlign w:val="baseline"/>
              </w:rPr>
            </w:pPr>
          </w:p>
        </w:tc>
      </w:tr>
      <w:tr w14:paraId="23E0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53" w:type="pct"/>
            <w:vMerge w:val="continue"/>
            <w:vAlign w:val="center"/>
          </w:tcPr>
          <w:p w14:paraId="30B55FB7">
            <w:pPr>
              <w:spacing w:line="240" w:lineRule="atLeast"/>
              <w:ind w:firstLine="28" w:firstLineChars="0"/>
              <w:jc w:val="center"/>
              <w:rPr>
                <w:rFonts w:hint="eastAsia" w:ascii="宋体" w:hAnsi="宋体" w:cs="宋体"/>
                <w:sz w:val="21"/>
                <w:szCs w:val="21"/>
              </w:rPr>
            </w:pPr>
          </w:p>
        </w:tc>
        <w:tc>
          <w:tcPr>
            <w:tcW w:w="584" w:type="pct"/>
            <w:vMerge w:val="continue"/>
            <w:vAlign w:val="center"/>
          </w:tcPr>
          <w:p w14:paraId="364CBBCD">
            <w:pPr>
              <w:spacing w:line="240" w:lineRule="atLeast"/>
              <w:ind w:firstLine="28" w:firstLineChars="0"/>
              <w:jc w:val="center"/>
              <w:rPr>
                <w:rFonts w:hint="eastAsia" w:ascii="宋体" w:hAnsi="宋体" w:cs="宋体"/>
                <w:sz w:val="21"/>
                <w:szCs w:val="21"/>
              </w:rPr>
            </w:pPr>
          </w:p>
        </w:tc>
        <w:tc>
          <w:tcPr>
            <w:tcW w:w="599" w:type="pct"/>
            <w:vMerge w:val="continue"/>
            <w:vAlign w:val="center"/>
          </w:tcPr>
          <w:p w14:paraId="1E3B0DBD">
            <w:pPr>
              <w:spacing w:line="240" w:lineRule="atLeast"/>
              <w:ind w:firstLine="28" w:firstLineChars="0"/>
              <w:jc w:val="center"/>
              <w:rPr>
                <w:rFonts w:hint="eastAsia" w:ascii="宋体" w:hAnsi="宋体" w:cs="宋体"/>
                <w:sz w:val="21"/>
                <w:szCs w:val="21"/>
                <w:lang w:val="en-US" w:eastAsia="zh-CN"/>
              </w:rPr>
            </w:pPr>
          </w:p>
        </w:tc>
        <w:tc>
          <w:tcPr>
            <w:tcW w:w="2313" w:type="pct"/>
            <w:vAlign w:val="center"/>
          </w:tcPr>
          <w:p w14:paraId="516C3BAD">
            <w:pPr>
              <w:spacing w:line="360" w:lineRule="auto"/>
              <w:rPr>
                <w:rFonts w:ascii="宋体" w:hAnsi="宋体"/>
                <w:color w:val="000000"/>
                <w:sz w:val="21"/>
                <w:szCs w:val="21"/>
              </w:rPr>
            </w:pPr>
            <w:r>
              <w:rPr>
                <w:rFonts w:ascii="宋体" w:hAnsi="宋体"/>
                <w:color w:val="000000"/>
                <w:sz w:val="21"/>
                <w:szCs w:val="21"/>
              </w:rPr>
              <w:t>B</w:t>
            </w:r>
            <w:r>
              <w:rPr>
                <w:rFonts w:hint="eastAsia" w:ascii="宋体" w:hAnsi="宋体"/>
                <w:color w:val="000000"/>
                <w:sz w:val="21"/>
                <w:szCs w:val="21"/>
              </w:rPr>
              <w:t>、扣分条款：</w:t>
            </w:r>
          </w:p>
          <w:p w14:paraId="455F24F5">
            <w:pPr>
              <w:spacing w:line="360" w:lineRule="auto"/>
              <w:ind w:firstLine="420" w:firstLineChars="200"/>
              <w:rPr>
                <w:rFonts w:ascii="宋体" w:hAnsi="宋体"/>
                <w:color w:val="000000"/>
                <w:sz w:val="21"/>
                <w:szCs w:val="21"/>
              </w:rPr>
            </w:pPr>
            <w:r>
              <w:rPr>
                <w:rFonts w:hint="eastAsia" w:ascii="宋体" w:hAnsi="宋体"/>
                <w:color w:val="000000"/>
                <w:sz w:val="21"/>
                <w:szCs w:val="21"/>
              </w:rPr>
              <w:t>1.重要技术参数（磋商文件第二篇 项目服务需求 一、项目技术需求中带（</w:t>
            </w:r>
            <w:r>
              <w:rPr>
                <w:rFonts w:hint="eastAsia" w:ascii="宋体" w:hAnsi="宋体"/>
                <w:sz w:val="24"/>
                <w:szCs w:val="24"/>
              </w:rPr>
              <w:t>★</w:t>
            </w:r>
            <w:r>
              <w:rPr>
                <w:rFonts w:hint="eastAsia" w:ascii="宋体" w:hAnsi="宋体"/>
                <w:color w:val="000000"/>
                <w:sz w:val="21"/>
                <w:szCs w:val="21"/>
              </w:rPr>
              <w:t>）部分）有一条不满足的，技术部分得分为0分。</w:t>
            </w:r>
          </w:p>
          <w:p w14:paraId="178EDB2B">
            <w:pPr>
              <w:spacing w:line="360" w:lineRule="auto"/>
              <w:ind w:firstLine="420" w:firstLineChars="200"/>
              <w:rPr>
                <w:rFonts w:hint="eastAsia" w:ascii="宋体" w:hAnsi="宋体" w:cs="宋体"/>
                <w:sz w:val="21"/>
                <w:szCs w:val="21"/>
                <w:lang w:val="en-US" w:eastAsia="zh-CN"/>
              </w:rPr>
            </w:pPr>
            <w:r>
              <w:rPr>
                <w:rFonts w:hint="eastAsia" w:ascii="宋体" w:hAnsi="宋体"/>
                <w:color w:val="000000"/>
                <w:sz w:val="21"/>
                <w:szCs w:val="21"/>
              </w:rPr>
              <w:t>2.一般性技术参数（磋商文件第二篇 项目服务需求 一、项目技术需求中非（</w:t>
            </w:r>
            <w:r>
              <w:rPr>
                <w:rFonts w:hint="eastAsia" w:ascii="宋体" w:hAnsi="宋体"/>
                <w:sz w:val="24"/>
                <w:szCs w:val="24"/>
              </w:rPr>
              <w:t>★</w:t>
            </w:r>
            <w:r>
              <w:rPr>
                <w:rFonts w:hint="eastAsia" w:ascii="宋体" w:hAnsi="宋体"/>
                <w:color w:val="000000"/>
                <w:sz w:val="21"/>
                <w:szCs w:val="21"/>
              </w:rPr>
              <w:t>）部分）有一条不满足的,从起评分中扣除3分；有4条及以上不满足的，技术部分得分为0分。</w:t>
            </w:r>
          </w:p>
        </w:tc>
        <w:tc>
          <w:tcPr>
            <w:tcW w:w="1148" w:type="pct"/>
            <w:vAlign w:val="center"/>
          </w:tcPr>
          <w:p w14:paraId="0BE0555B">
            <w:pPr>
              <w:spacing w:line="240" w:lineRule="atLeast"/>
              <w:ind w:left="-38" w:leftChars="0"/>
              <w:rPr>
                <w:vertAlign w:val="baseline"/>
              </w:rPr>
            </w:pPr>
          </w:p>
        </w:tc>
      </w:tr>
      <w:tr w14:paraId="03CF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53" w:type="pct"/>
            <w:vMerge w:val="continue"/>
            <w:vAlign w:val="center"/>
          </w:tcPr>
          <w:p w14:paraId="40012052">
            <w:pPr>
              <w:spacing w:line="240" w:lineRule="atLeast"/>
              <w:ind w:firstLine="28" w:firstLineChars="0"/>
              <w:jc w:val="center"/>
              <w:rPr>
                <w:rFonts w:hint="eastAsia" w:ascii="宋体" w:hAnsi="宋体" w:cs="宋体"/>
                <w:sz w:val="21"/>
                <w:szCs w:val="21"/>
              </w:rPr>
            </w:pPr>
          </w:p>
        </w:tc>
        <w:tc>
          <w:tcPr>
            <w:tcW w:w="584" w:type="pct"/>
            <w:vMerge w:val="continue"/>
            <w:vAlign w:val="center"/>
          </w:tcPr>
          <w:p w14:paraId="4D523A44">
            <w:pPr>
              <w:spacing w:line="240" w:lineRule="atLeast"/>
              <w:ind w:firstLine="28" w:firstLineChars="0"/>
              <w:jc w:val="center"/>
              <w:rPr>
                <w:rFonts w:hint="eastAsia" w:ascii="宋体" w:hAnsi="宋体" w:cs="宋体"/>
                <w:sz w:val="21"/>
                <w:szCs w:val="21"/>
              </w:rPr>
            </w:pPr>
          </w:p>
        </w:tc>
        <w:tc>
          <w:tcPr>
            <w:tcW w:w="599" w:type="pct"/>
            <w:vMerge w:val="continue"/>
            <w:vAlign w:val="center"/>
          </w:tcPr>
          <w:p w14:paraId="6C955DE3">
            <w:pPr>
              <w:spacing w:line="240" w:lineRule="atLeast"/>
              <w:ind w:firstLine="28" w:firstLineChars="0"/>
              <w:jc w:val="center"/>
              <w:rPr>
                <w:rFonts w:hint="eastAsia" w:ascii="宋体" w:hAnsi="宋体" w:cs="宋体"/>
                <w:sz w:val="21"/>
                <w:szCs w:val="21"/>
                <w:lang w:val="en-US" w:eastAsia="zh-CN"/>
              </w:rPr>
            </w:pPr>
          </w:p>
        </w:tc>
        <w:tc>
          <w:tcPr>
            <w:tcW w:w="2313" w:type="pct"/>
            <w:vAlign w:val="center"/>
          </w:tcPr>
          <w:p w14:paraId="7B152212">
            <w:pPr>
              <w:widowControl/>
              <w:adjustRightInd/>
              <w:snapToGrid/>
              <w:spacing w:line="360" w:lineRule="auto"/>
              <w:ind w:firstLine="422" w:firstLineChars="200"/>
              <w:jc w:val="left"/>
              <w:rPr>
                <w:rFonts w:ascii="宋体" w:hAnsi="宋体"/>
                <w:b/>
                <w:bCs/>
                <w:color w:val="000000"/>
                <w:sz w:val="21"/>
                <w:szCs w:val="21"/>
                <w:highlight w:val="none"/>
              </w:rPr>
            </w:pPr>
            <w:r>
              <w:rPr>
                <w:rFonts w:hint="eastAsia" w:ascii="宋体" w:hAnsi="宋体"/>
                <w:b/>
                <w:bCs/>
                <w:color w:val="000000"/>
                <w:sz w:val="21"/>
                <w:szCs w:val="21"/>
                <w:highlight w:val="none"/>
                <w:lang w:val="en-US" w:eastAsia="zh-CN"/>
              </w:rPr>
              <w:t>一</w:t>
            </w:r>
            <w:r>
              <w:rPr>
                <w:rFonts w:hint="eastAsia" w:ascii="宋体" w:hAnsi="宋体"/>
                <w:b/>
                <w:bCs/>
                <w:color w:val="000000"/>
                <w:sz w:val="21"/>
                <w:szCs w:val="21"/>
                <w:highlight w:val="none"/>
              </w:rPr>
              <w:t>、</w:t>
            </w:r>
            <w:r>
              <w:rPr>
                <w:rFonts w:hint="eastAsia" w:ascii="宋体" w:hAnsi="宋体"/>
                <w:b/>
                <w:bCs/>
                <w:color w:val="000000"/>
                <w:sz w:val="21"/>
                <w:szCs w:val="21"/>
                <w:highlight w:val="none"/>
                <w:lang w:val="en-US" w:eastAsia="zh-CN"/>
              </w:rPr>
              <w:t>技术方案</w:t>
            </w:r>
            <w:r>
              <w:rPr>
                <w:rFonts w:hint="eastAsia" w:ascii="宋体" w:hAnsi="宋体"/>
                <w:b/>
                <w:bCs/>
                <w:color w:val="000000"/>
                <w:sz w:val="21"/>
                <w:szCs w:val="21"/>
                <w:highlight w:val="none"/>
              </w:rPr>
              <w:t>（</w:t>
            </w:r>
            <w:r>
              <w:rPr>
                <w:rFonts w:hint="eastAsia" w:ascii="宋体" w:hAnsi="宋体"/>
                <w:b/>
                <w:bCs/>
                <w:color w:val="000000"/>
                <w:sz w:val="21"/>
                <w:szCs w:val="21"/>
                <w:highlight w:val="none"/>
                <w:lang w:val="en-US" w:eastAsia="zh-CN"/>
              </w:rPr>
              <w:t>35</w:t>
            </w:r>
            <w:r>
              <w:rPr>
                <w:rFonts w:hint="eastAsia" w:ascii="宋体" w:hAnsi="宋体"/>
                <w:b/>
                <w:bCs/>
                <w:color w:val="000000"/>
                <w:sz w:val="21"/>
                <w:szCs w:val="21"/>
                <w:highlight w:val="none"/>
              </w:rPr>
              <w:t>分）</w:t>
            </w:r>
          </w:p>
          <w:p w14:paraId="51E6C08B">
            <w:pPr>
              <w:spacing w:line="360" w:lineRule="auto"/>
              <w:ind w:firstLine="422" w:firstLineChars="200"/>
              <w:jc w:val="left"/>
              <w:rPr>
                <w:rFonts w:ascii="宋体" w:hAnsi="宋体"/>
                <w:b/>
                <w:bCs/>
                <w:color w:val="000000"/>
                <w:sz w:val="21"/>
                <w:szCs w:val="21"/>
              </w:rPr>
            </w:pPr>
            <w:r>
              <w:rPr>
                <w:rFonts w:hint="eastAsia" w:ascii="宋体" w:hAnsi="宋体"/>
                <w:b/>
                <w:bCs/>
                <w:color w:val="000000"/>
                <w:sz w:val="21"/>
                <w:szCs w:val="21"/>
              </w:rPr>
              <w:t>1．需求分析（</w:t>
            </w:r>
            <w:r>
              <w:rPr>
                <w:rFonts w:hint="eastAsia" w:ascii="宋体" w:hAnsi="宋体"/>
                <w:b/>
                <w:bCs/>
                <w:color w:val="000000"/>
                <w:sz w:val="21"/>
                <w:szCs w:val="21"/>
                <w:lang w:val="en-US" w:eastAsia="zh-CN"/>
              </w:rPr>
              <w:t>5</w:t>
            </w:r>
            <w:r>
              <w:rPr>
                <w:rFonts w:hint="eastAsia" w:ascii="宋体" w:hAnsi="宋体"/>
                <w:b/>
                <w:bCs/>
                <w:color w:val="000000"/>
                <w:sz w:val="21"/>
                <w:szCs w:val="21"/>
              </w:rPr>
              <w:t>分）</w:t>
            </w:r>
          </w:p>
          <w:p w14:paraId="49AC34E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供应商提供书面需求分析报告，应深入理解项目思路和</w:t>
            </w:r>
            <w:r>
              <w:rPr>
                <w:rFonts w:hint="eastAsia" w:ascii="宋体" w:hAnsi="宋体"/>
                <w:color w:val="000000"/>
                <w:sz w:val="21"/>
                <w:szCs w:val="21"/>
                <w:lang w:eastAsia="zh-CN"/>
              </w:rPr>
              <w:t>采购人</w:t>
            </w:r>
            <w:r>
              <w:rPr>
                <w:rFonts w:hint="eastAsia" w:ascii="宋体" w:hAnsi="宋体"/>
                <w:color w:val="000000"/>
                <w:sz w:val="21"/>
                <w:szCs w:val="21"/>
              </w:rPr>
              <w:t>业务需求，在此基础上完成本项目需求分析报告。</w:t>
            </w:r>
          </w:p>
          <w:p w14:paraId="3392428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sz w:val="21"/>
                <w:szCs w:val="21"/>
                <w:lang w:eastAsia="zh-CN"/>
              </w:rPr>
            </w:pPr>
            <w:r>
              <w:rPr>
                <w:rFonts w:hint="eastAsia" w:ascii="宋体" w:hAnsi="宋体"/>
                <w:color w:val="000000"/>
                <w:sz w:val="21"/>
                <w:szCs w:val="21"/>
              </w:rPr>
              <w:t>需求理解深刻、全面得</w:t>
            </w:r>
            <w:r>
              <w:rPr>
                <w:rFonts w:hint="eastAsia" w:ascii="宋体" w:hAnsi="宋体"/>
                <w:color w:val="000000"/>
                <w:sz w:val="21"/>
                <w:szCs w:val="21"/>
                <w:lang w:val="en-US" w:eastAsia="zh-CN"/>
              </w:rPr>
              <w:t>5</w:t>
            </w:r>
            <w:r>
              <w:rPr>
                <w:rFonts w:hint="eastAsia" w:ascii="宋体" w:hAnsi="宋体"/>
                <w:color w:val="000000"/>
                <w:sz w:val="21"/>
                <w:szCs w:val="21"/>
              </w:rPr>
              <w:t>分</w:t>
            </w:r>
            <w:r>
              <w:rPr>
                <w:rFonts w:hint="eastAsia" w:ascii="宋体" w:hAnsi="宋体"/>
                <w:color w:val="000000"/>
                <w:sz w:val="21"/>
                <w:szCs w:val="21"/>
                <w:lang w:eastAsia="zh-CN"/>
              </w:rPr>
              <w:t>；</w:t>
            </w:r>
          </w:p>
          <w:p w14:paraId="0EA7F60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sz w:val="21"/>
                <w:szCs w:val="21"/>
                <w:lang w:eastAsia="zh-CN"/>
              </w:rPr>
            </w:pPr>
            <w:r>
              <w:rPr>
                <w:rFonts w:hint="eastAsia" w:ascii="宋体" w:hAnsi="宋体"/>
                <w:color w:val="000000"/>
                <w:sz w:val="21"/>
                <w:szCs w:val="21"/>
              </w:rPr>
              <w:t>需求理解较深刻、较全面得</w:t>
            </w:r>
            <w:r>
              <w:rPr>
                <w:rFonts w:hint="eastAsia" w:ascii="宋体" w:hAnsi="宋体"/>
                <w:color w:val="000000"/>
                <w:sz w:val="21"/>
                <w:szCs w:val="21"/>
                <w:lang w:val="en-US" w:eastAsia="zh-CN"/>
              </w:rPr>
              <w:t>3</w:t>
            </w:r>
            <w:r>
              <w:rPr>
                <w:rFonts w:hint="eastAsia" w:ascii="宋体" w:hAnsi="宋体"/>
                <w:color w:val="000000"/>
                <w:sz w:val="21"/>
                <w:szCs w:val="21"/>
              </w:rPr>
              <w:t>分</w:t>
            </w:r>
            <w:r>
              <w:rPr>
                <w:rFonts w:hint="eastAsia" w:ascii="宋体" w:hAnsi="宋体"/>
                <w:color w:val="000000"/>
                <w:sz w:val="21"/>
                <w:szCs w:val="21"/>
                <w:lang w:eastAsia="zh-CN"/>
              </w:rPr>
              <w:t>；</w:t>
            </w:r>
          </w:p>
          <w:p w14:paraId="270B9AD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sz w:val="21"/>
                <w:szCs w:val="21"/>
                <w:lang w:eastAsia="zh-CN"/>
              </w:rPr>
            </w:pPr>
            <w:r>
              <w:rPr>
                <w:rFonts w:hint="eastAsia" w:ascii="宋体" w:hAnsi="宋体"/>
                <w:color w:val="000000"/>
                <w:sz w:val="21"/>
                <w:szCs w:val="21"/>
              </w:rPr>
              <w:t>需求理解一般得</w:t>
            </w:r>
            <w:r>
              <w:rPr>
                <w:rFonts w:hint="eastAsia" w:ascii="宋体" w:hAnsi="宋体"/>
                <w:color w:val="000000"/>
                <w:sz w:val="21"/>
                <w:szCs w:val="21"/>
                <w:lang w:val="en-US" w:eastAsia="zh-CN"/>
              </w:rPr>
              <w:t>2</w:t>
            </w:r>
            <w:r>
              <w:rPr>
                <w:rFonts w:hint="eastAsia" w:ascii="宋体" w:hAnsi="宋体"/>
                <w:color w:val="000000"/>
                <w:sz w:val="21"/>
                <w:szCs w:val="21"/>
              </w:rPr>
              <w:t>分</w:t>
            </w:r>
            <w:r>
              <w:rPr>
                <w:rFonts w:hint="eastAsia" w:ascii="宋体" w:hAnsi="宋体"/>
                <w:color w:val="000000"/>
                <w:sz w:val="21"/>
                <w:szCs w:val="21"/>
                <w:lang w:eastAsia="zh-CN"/>
              </w:rPr>
              <w:t>；</w:t>
            </w:r>
          </w:p>
          <w:p w14:paraId="20EE3D2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需求理解差、片面差或未提供得0分。</w:t>
            </w:r>
          </w:p>
          <w:p w14:paraId="61CFF1E4">
            <w:pPr>
              <w:spacing w:line="360" w:lineRule="auto"/>
              <w:ind w:firstLine="422" w:firstLineChars="200"/>
              <w:jc w:val="left"/>
              <w:rPr>
                <w:rFonts w:hint="eastAsia" w:ascii="宋体" w:hAnsi="宋体"/>
                <w:b/>
                <w:bCs/>
                <w:color w:val="000000"/>
                <w:sz w:val="21"/>
                <w:szCs w:val="21"/>
              </w:rPr>
            </w:pPr>
            <w:r>
              <w:rPr>
                <w:rFonts w:hint="eastAsia" w:ascii="宋体" w:hAnsi="宋体"/>
                <w:b/>
                <w:bCs/>
                <w:color w:val="000000"/>
                <w:sz w:val="21"/>
                <w:szCs w:val="21"/>
                <w:lang w:val="en-US" w:eastAsia="zh-CN"/>
              </w:rPr>
              <w:t>2</w:t>
            </w:r>
            <w:r>
              <w:rPr>
                <w:rFonts w:hint="eastAsia" w:ascii="宋体" w:hAnsi="宋体"/>
                <w:b/>
                <w:bCs/>
                <w:color w:val="000000"/>
                <w:sz w:val="21"/>
                <w:szCs w:val="21"/>
              </w:rPr>
              <w:t>．</w:t>
            </w:r>
            <w:r>
              <w:rPr>
                <w:rFonts w:hint="eastAsia" w:ascii="宋体" w:hAnsi="宋体"/>
                <w:b/>
                <w:bCs/>
                <w:color w:val="000000"/>
                <w:sz w:val="21"/>
                <w:szCs w:val="21"/>
                <w:lang w:val="en-US" w:eastAsia="zh-CN"/>
              </w:rPr>
              <w:t>频谱地图技术服务实施方案</w:t>
            </w:r>
            <w:r>
              <w:rPr>
                <w:rFonts w:hint="eastAsia" w:ascii="宋体" w:hAnsi="宋体"/>
                <w:b/>
                <w:bCs/>
                <w:color w:val="000000"/>
                <w:sz w:val="21"/>
                <w:szCs w:val="21"/>
              </w:rPr>
              <w:t>（</w:t>
            </w:r>
            <w:r>
              <w:rPr>
                <w:rFonts w:hint="eastAsia" w:ascii="宋体" w:hAnsi="宋体"/>
                <w:b/>
                <w:bCs/>
                <w:color w:val="000000"/>
                <w:sz w:val="21"/>
                <w:szCs w:val="21"/>
                <w:lang w:val="en-US" w:eastAsia="zh-CN"/>
              </w:rPr>
              <w:t>15</w:t>
            </w:r>
            <w:r>
              <w:rPr>
                <w:rFonts w:hint="eastAsia" w:ascii="宋体" w:hAnsi="宋体"/>
                <w:b/>
                <w:bCs/>
                <w:color w:val="000000"/>
                <w:sz w:val="21"/>
                <w:szCs w:val="21"/>
              </w:rPr>
              <w:t>分）</w:t>
            </w:r>
          </w:p>
          <w:p w14:paraId="56721107">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供应商提供书面</w:t>
            </w:r>
            <w:r>
              <w:rPr>
                <w:rFonts w:hint="eastAsia" w:ascii="宋体" w:hAnsi="宋体"/>
                <w:color w:val="000000"/>
                <w:sz w:val="21"/>
                <w:szCs w:val="21"/>
                <w:lang w:val="en-US" w:eastAsia="zh-CN"/>
              </w:rPr>
              <w:t>服务实施方案。方案应包含技术应用方案、实施步骤、实施效果</w:t>
            </w:r>
            <w:r>
              <w:rPr>
                <w:rFonts w:hint="eastAsia" w:ascii="宋体" w:hAnsi="宋体"/>
                <w:color w:val="000000"/>
                <w:sz w:val="21"/>
                <w:szCs w:val="21"/>
              </w:rPr>
              <w:t>等内容，符合</w:t>
            </w:r>
            <w:r>
              <w:rPr>
                <w:rFonts w:hint="eastAsia" w:ascii="宋体" w:hAnsi="宋体"/>
                <w:color w:val="000000"/>
                <w:sz w:val="21"/>
                <w:szCs w:val="21"/>
                <w:lang w:eastAsia="zh-CN"/>
              </w:rPr>
              <w:t>采购人</w:t>
            </w:r>
            <w:r>
              <w:rPr>
                <w:rFonts w:hint="eastAsia" w:ascii="宋体" w:hAnsi="宋体"/>
                <w:color w:val="000000"/>
                <w:sz w:val="21"/>
                <w:szCs w:val="21"/>
              </w:rPr>
              <w:t>实际情况。</w:t>
            </w:r>
          </w:p>
          <w:p w14:paraId="102B37B5">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阐述清楚、可操作性强</w:t>
            </w:r>
            <w:r>
              <w:rPr>
                <w:rFonts w:hint="eastAsia" w:ascii="宋体" w:hAnsi="宋体"/>
                <w:color w:val="000000"/>
                <w:sz w:val="21"/>
                <w:szCs w:val="21"/>
                <w:lang w:eastAsia="zh-CN"/>
              </w:rPr>
              <w:t>，</w:t>
            </w:r>
            <w:r>
              <w:rPr>
                <w:rFonts w:hint="eastAsia" w:ascii="宋体" w:hAnsi="宋体"/>
                <w:color w:val="000000"/>
                <w:sz w:val="21"/>
                <w:szCs w:val="21"/>
                <w:lang w:val="en-US" w:eastAsia="zh-CN"/>
              </w:rPr>
              <w:t>技术方案可行性强，</w:t>
            </w:r>
            <w:r>
              <w:rPr>
                <w:rFonts w:hint="eastAsia" w:ascii="宋体" w:hAnsi="宋体"/>
                <w:color w:val="000000"/>
                <w:sz w:val="21"/>
                <w:szCs w:val="21"/>
              </w:rPr>
              <w:t>完全符合</w:t>
            </w:r>
            <w:r>
              <w:rPr>
                <w:rFonts w:hint="eastAsia" w:ascii="宋体" w:hAnsi="宋体"/>
                <w:color w:val="000000"/>
                <w:sz w:val="21"/>
                <w:szCs w:val="21"/>
                <w:lang w:eastAsia="zh-CN"/>
              </w:rPr>
              <w:t>采购人</w:t>
            </w:r>
            <w:r>
              <w:rPr>
                <w:rFonts w:hint="eastAsia" w:ascii="宋体" w:hAnsi="宋体"/>
                <w:color w:val="000000"/>
                <w:sz w:val="21"/>
                <w:szCs w:val="21"/>
              </w:rPr>
              <w:t>实际情况得</w:t>
            </w:r>
            <w:r>
              <w:rPr>
                <w:rFonts w:hint="eastAsia" w:ascii="宋体" w:hAnsi="宋体"/>
                <w:color w:val="000000"/>
                <w:sz w:val="21"/>
                <w:szCs w:val="21"/>
                <w:lang w:val="en-US" w:eastAsia="zh-CN"/>
              </w:rPr>
              <w:t>15</w:t>
            </w:r>
            <w:r>
              <w:rPr>
                <w:rFonts w:hint="eastAsia" w:ascii="宋体" w:hAnsi="宋体"/>
                <w:color w:val="000000"/>
                <w:sz w:val="21"/>
                <w:szCs w:val="21"/>
              </w:rPr>
              <w:t>分</w:t>
            </w:r>
            <w:r>
              <w:rPr>
                <w:rFonts w:hint="eastAsia" w:ascii="宋体" w:hAnsi="宋体"/>
                <w:color w:val="000000"/>
                <w:sz w:val="21"/>
                <w:szCs w:val="21"/>
                <w:lang w:eastAsia="zh-CN"/>
              </w:rPr>
              <w:t>；</w:t>
            </w:r>
          </w:p>
          <w:p w14:paraId="6B0100C9">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阐述较清楚、可操作性较强、</w:t>
            </w:r>
            <w:r>
              <w:rPr>
                <w:rFonts w:hint="eastAsia" w:ascii="宋体" w:hAnsi="宋体"/>
                <w:color w:val="000000"/>
                <w:sz w:val="21"/>
                <w:szCs w:val="21"/>
                <w:lang w:val="en-US" w:eastAsia="zh-CN"/>
              </w:rPr>
              <w:t>较</w:t>
            </w:r>
            <w:r>
              <w:rPr>
                <w:rFonts w:hint="eastAsia" w:ascii="宋体" w:hAnsi="宋体"/>
                <w:color w:val="000000"/>
                <w:sz w:val="21"/>
                <w:szCs w:val="21"/>
              </w:rPr>
              <w:t>符合</w:t>
            </w:r>
            <w:r>
              <w:rPr>
                <w:rFonts w:hint="eastAsia" w:ascii="宋体" w:hAnsi="宋体"/>
                <w:color w:val="000000"/>
                <w:sz w:val="21"/>
                <w:szCs w:val="21"/>
                <w:lang w:eastAsia="zh-CN"/>
              </w:rPr>
              <w:t>采购人</w:t>
            </w:r>
            <w:r>
              <w:rPr>
                <w:rFonts w:hint="eastAsia" w:ascii="宋体" w:hAnsi="宋体"/>
                <w:color w:val="000000"/>
                <w:sz w:val="21"/>
                <w:szCs w:val="21"/>
              </w:rPr>
              <w:t>实际情况得</w:t>
            </w:r>
            <w:r>
              <w:rPr>
                <w:rFonts w:hint="eastAsia" w:ascii="宋体" w:hAnsi="宋体"/>
                <w:color w:val="000000"/>
                <w:sz w:val="21"/>
                <w:szCs w:val="21"/>
                <w:lang w:val="en-US" w:eastAsia="zh-CN"/>
              </w:rPr>
              <w:t>10</w:t>
            </w:r>
            <w:r>
              <w:rPr>
                <w:rFonts w:hint="eastAsia" w:ascii="宋体" w:hAnsi="宋体"/>
                <w:color w:val="000000"/>
                <w:sz w:val="21"/>
                <w:szCs w:val="21"/>
              </w:rPr>
              <w:t>分</w:t>
            </w:r>
            <w:r>
              <w:rPr>
                <w:rFonts w:hint="eastAsia" w:ascii="宋体" w:hAnsi="宋体"/>
                <w:color w:val="000000"/>
                <w:sz w:val="21"/>
                <w:szCs w:val="21"/>
                <w:lang w:eastAsia="zh-CN"/>
              </w:rPr>
              <w:t>；</w:t>
            </w:r>
          </w:p>
          <w:p w14:paraId="396387EB">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阐述一般、可操作性一般、</w:t>
            </w:r>
            <w:r>
              <w:rPr>
                <w:rFonts w:hint="eastAsia" w:ascii="宋体" w:hAnsi="宋体"/>
                <w:color w:val="000000"/>
                <w:sz w:val="21"/>
                <w:szCs w:val="21"/>
                <w:lang w:val="en-US" w:eastAsia="zh-CN"/>
              </w:rPr>
              <w:t>基本</w:t>
            </w:r>
            <w:r>
              <w:rPr>
                <w:rFonts w:hint="eastAsia" w:ascii="宋体" w:hAnsi="宋体"/>
                <w:color w:val="000000"/>
                <w:sz w:val="21"/>
                <w:szCs w:val="21"/>
              </w:rPr>
              <w:t>符合</w:t>
            </w:r>
            <w:r>
              <w:rPr>
                <w:rFonts w:hint="eastAsia" w:ascii="宋体" w:hAnsi="宋体"/>
                <w:color w:val="000000"/>
                <w:sz w:val="21"/>
                <w:szCs w:val="21"/>
                <w:lang w:eastAsia="zh-CN"/>
              </w:rPr>
              <w:t>采购人</w:t>
            </w:r>
            <w:r>
              <w:rPr>
                <w:rFonts w:hint="eastAsia" w:ascii="宋体" w:hAnsi="宋体"/>
                <w:color w:val="000000"/>
                <w:sz w:val="21"/>
                <w:szCs w:val="21"/>
              </w:rPr>
              <w:t>实际情况得</w:t>
            </w:r>
            <w:r>
              <w:rPr>
                <w:rFonts w:hint="eastAsia" w:ascii="宋体" w:hAnsi="宋体"/>
                <w:color w:val="000000"/>
                <w:sz w:val="21"/>
                <w:szCs w:val="21"/>
                <w:lang w:val="en-US" w:eastAsia="zh-CN"/>
              </w:rPr>
              <w:t>5</w:t>
            </w:r>
            <w:r>
              <w:rPr>
                <w:rFonts w:hint="eastAsia" w:ascii="宋体" w:hAnsi="宋体"/>
                <w:color w:val="000000"/>
                <w:sz w:val="21"/>
                <w:szCs w:val="21"/>
              </w:rPr>
              <w:t>分</w:t>
            </w:r>
            <w:r>
              <w:rPr>
                <w:rFonts w:hint="eastAsia" w:ascii="宋体" w:hAnsi="宋体"/>
                <w:color w:val="000000"/>
                <w:sz w:val="21"/>
                <w:szCs w:val="21"/>
                <w:lang w:eastAsia="zh-CN"/>
              </w:rPr>
              <w:t>；</w:t>
            </w:r>
          </w:p>
          <w:p w14:paraId="2C3C6394">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阐述不清楚、可操作性差、不符合</w:t>
            </w:r>
            <w:r>
              <w:rPr>
                <w:rFonts w:hint="eastAsia" w:ascii="宋体" w:hAnsi="宋体"/>
                <w:color w:val="000000"/>
                <w:sz w:val="21"/>
                <w:szCs w:val="21"/>
                <w:lang w:eastAsia="zh-CN"/>
              </w:rPr>
              <w:t>采购人</w:t>
            </w:r>
            <w:r>
              <w:rPr>
                <w:rFonts w:hint="eastAsia" w:ascii="宋体" w:hAnsi="宋体"/>
                <w:color w:val="000000"/>
                <w:sz w:val="21"/>
                <w:szCs w:val="21"/>
              </w:rPr>
              <w:t>实际情况或未提供得0分</w:t>
            </w:r>
            <w:r>
              <w:rPr>
                <w:rFonts w:hint="eastAsia" w:ascii="宋体" w:hAnsi="宋体"/>
                <w:color w:val="000000"/>
                <w:sz w:val="21"/>
                <w:szCs w:val="21"/>
                <w:lang w:eastAsia="zh-CN"/>
              </w:rPr>
              <w:t>。</w:t>
            </w:r>
          </w:p>
          <w:p w14:paraId="43A0A725">
            <w:pPr>
              <w:spacing w:line="360" w:lineRule="auto"/>
              <w:ind w:firstLine="422" w:firstLineChars="200"/>
              <w:jc w:val="left"/>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3.运行服务方案（15分）</w:t>
            </w:r>
          </w:p>
          <w:p w14:paraId="02CAFF39">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供应商提供应用部署后的运行服务方案，包括服务内容、服务计划、应急处置预案、应急响应时限、应急处置流程、处置情况报告、备件更换服务等。</w:t>
            </w:r>
          </w:p>
          <w:p w14:paraId="18DD68B9">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阐述清楚、可操作性强</w:t>
            </w:r>
            <w:r>
              <w:rPr>
                <w:rFonts w:hint="eastAsia" w:ascii="宋体" w:hAnsi="宋体"/>
                <w:color w:val="000000"/>
                <w:sz w:val="21"/>
                <w:szCs w:val="21"/>
                <w:lang w:eastAsia="zh-CN"/>
              </w:rPr>
              <w:t>，</w:t>
            </w:r>
            <w:r>
              <w:rPr>
                <w:rFonts w:hint="eastAsia" w:ascii="宋体" w:hAnsi="宋体"/>
                <w:color w:val="000000"/>
                <w:sz w:val="21"/>
                <w:szCs w:val="21"/>
                <w:lang w:val="en-US" w:eastAsia="zh-CN"/>
              </w:rPr>
              <w:t>技术方案可行性强，</w:t>
            </w:r>
            <w:r>
              <w:rPr>
                <w:rFonts w:hint="eastAsia" w:ascii="宋体" w:hAnsi="宋体"/>
                <w:color w:val="000000"/>
                <w:sz w:val="21"/>
                <w:szCs w:val="21"/>
              </w:rPr>
              <w:t>完全符合</w:t>
            </w:r>
            <w:r>
              <w:rPr>
                <w:rFonts w:hint="eastAsia" w:ascii="宋体" w:hAnsi="宋体"/>
                <w:color w:val="000000"/>
                <w:sz w:val="21"/>
                <w:szCs w:val="21"/>
                <w:lang w:eastAsia="zh-CN"/>
              </w:rPr>
              <w:t>采购人</w:t>
            </w:r>
            <w:r>
              <w:rPr>
                <w:rFonts w:hint="eastAsia" w:ascii="宋体" w:hAnsi="宋体"/>
                <w:color w:val="000000"/>
                <w:sz w:val="21"/>
                <w:szCs w:val="21"/>
              </w:rPr>
              <w:t>实际情况得</w:t>
            </w:r>
            <w:r>
              <w:rPr>
                <w:rFonts w:hint="eastAsia" w:ascii="宋体" w:hAnsi="宋体"/>
                <w:color w:val="000000"/>
                <w:sz w:val="21"/>
                <w:szCs w:val="21"/>
                <w:lang w:val="en-US" w:eastAsia="zh-CN"/>
              </w:rPr>
              <w:t>15</w:t>
            </w:r>
            <w:r>
              <w:rPr>
                <w:rFonts w:hint="eastAsia" w:ascii="宋体" w:hAnsi="宋体"/>
                <w:color w:val="000000"/>
                <w:sz w:val="21"/>
                <w:szCs w:val="21"/>
              </w:rPr>
              <w:t>分</w:t>
            </w:r>
            <w:r>
              <w:rPr>
                <w:rFonts w:hint="eastAsia" w:ascii="宋体" w:hAnsi="宋体"/>
                <w:color w:val="000000"/>
                <w:sz w:val="21"/>
                <w:szCs w:val="21"/>
                <w:lang w:eastAsia="zh-CN"/>
              </w:rPr>
              <w:t>；</w:t>
            </w:r>
          </w:p>
          <w:p w14:paraId="3921DA5B">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阐述较清楚、可操作性较强、</w:t>
            </w:r>
            <w:r>
              <w:rPr>
                <w:rFonts w:hint="eastAsia" w:ascii="宋体" w:hAnsi="宋体"/>
                <w:color w:val="000000"/>
                <w:sz w:val="21"/>
                <w:szCs w:val="21"/>
                <w:lang w:val="en-US" w:eastAsia="zh-CN"/>
              </w:rPr>
              <w:t>较</w:t>
            </w:r>
            <w:r>
              <w:rPr>
                <w:rFonts w:hint="eastAsia" w:ascii="宋体" w:hAnsi="宋体"/>
                <w:color w:val="000000"/>
                <w:sz w:val="21"/>
                <w:szCs w:val="21"/>
              </w:rPr>
              <w:t>符合</w:t>
            </w:r>
            <w:r>
              <w:rPr>
                <w:rFonts w:hint="eastAsia" w:ascii="宋体" w:hAnsi="宋体"/>
                <w:color w:val="000000"/>
                <w:sz w:val="21"/>
                <w:szCs w:val="21"/>
                <w:lang w:eastAsia="zh-CN"/>
              </w:rPr>
              <w:t>采购人</w:t>
            </w:r>
            <w:r>
              <w:rPr>
                <w:rFonts w:hint="eastAsia" w:ascii="宋体" w:hAnsi="宋体"/>
                <w:color w:val="000000"/>
                <w:sz w:val="21"/>
                <w:szCs w:val="21"/>
              </w:rPr>
              <w:t>实际情况得</w:t>
            </w:r>
            <w:r>
              <w:rPr>
                <w:rFonts w:hint="eastAsia" w:ascii="宋体" w:hAnsi="宋体"/>
                <w:color w:val="000000"/>
                <w:sz w:val="21"/>
                <w:szCs w:val="21"/>
                <w:lang w:val="en-US" w:eastAsia="zh-CN"/>
              </w:rPr>
              <w:t>10</w:t>
            </w:r>
            <w:r>
              <w:rPr>
                <w:rFonts w:hint="eastAsia" w:ascii="宋体" w:hAnsi="宋体"/>
                <w:color w:val="000000"/>
                <w:sz w:val="21"/>
                <w:szCs w:val="21"/>
              </w:rPr>
              <w:t>分</w:t>
            </w:r>
            <w:r>
              <w:rPr>
                <w:rFonts w:hint="eastAsia" w:ascii="宋体" w:hAnsi="宋体"/>
                <w:color w:val="000000"/>
                <w:sz w:val="21"/>
                <w:szCs w:val="21"/>
                <w:lang w:eastAsia="zh-CN"/>
              </w:rPr>
              <w:t>；</w:t>
            </w:r>
          </w:p>
          <w:p w14:paraId="59CD179E">
            <w:pPr>
              <w:spacing w:line="360" w:lineRule="auto"/>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方案</w:t>
            </w:r>
            <w:r>
              <w:rPr>
                <w:rFonts w:hint="eastAsia" w:ascii="宋体" w:hAnsi="宋体"/>
                <w:color w:val="000000"/>
                <w:sz w:val="21"/>
                <w:szCs w:val="21"/>
              </w:rPr>
              <w:t>阐述一般、可操作性一般、</w:t>
            </w:r>
            <w:r>
              <w:rPr>
                <w:rFonts w:hint="eastAsia" w:ascii="宋体" w:hAnsi="宋体"/>
                <w:color w:val="000000"/>
                <w:sz w:val="21"/>
                <w:szCs w:val="21"/>
                <w:lang w:val="en-US" w:eastAsia="zh-CN"/>
              </w:rPr>
              <w:t>基本</w:t>
            </w:r>
            <w:r>
              <w:rPr>
                <w:rFonts w:hint="eastAsia" w:ascii="宋体" w:hAnsi="宋体"/>
                <w:color w:val="000000"/>
                <w:sz w:val="21"/>
                <w:szCs w:val="21"/>
              </w:rPr>
              <w:t>合</w:t>
            </w:r>
            <w:r>
              <w:rPr>
                <w:rFonts w:hint="eastAsia" w:ascii="宋体" w:hAnsi="宋体"/>
                <w:color w:val="000000"/>
                <w:sz w:val="21"/>
                <w:szCs w:val="21"/>
                <w:lang w:eastAsia="zh-CN"/>
              </w:rPr>
              <w:t>采购人</w:t>
            </w:r>
            <w:r>
              <w:rPr>
                <w:rFonts w:hint="eastAsia" w:ascii="宋体" w:hAnsi="宋体"/>
                <w:color w:val="000000"/>
                <w:sz w:val="21"/>
                <w:szCs w:val="21"/>
              </w:rPr>
              <w:t>实际情况得</w:t>
            </w:r>
            <w:r>
              <w:rPr>
                <w:rFonts w:hint="eastAsia" w:ascii="宋体" w:hAnsi="宋体"/>
                <w:color w:val="000000"/>
                <w:sz w:val="21"/>
                <w:szCs w:val="21"/>
                <w:lang w:val="en-US" w:eastAsia="zh-CN"/>
              </w:rPr>
              <w:t>5</w:t>
            </w:r>
            <w:r>
              <w:rPr>
                <w:rFonts w:hint="eastAsia" w:ascii="宋体" w:hAnsi="宋体"/>
                <w:color w:val="000000"/>
                <w:sz w:val="21"/>
                <w:szCs w:val="21"/>
              </w:rPr>
              <w:t>分</w:t>
            </w:r>
            <w:r>
              <w:rPr>
                <w:rFonts w:hint="eastAsia" w:ascii="宋体" w:hAnsi="宋体"/>
                <w:color w:val="000000"/>
                <w:sz w:val="21"/>
                <w:szCs w:val="21"/>
                <w:lang w:eastAsia="zh-CN"/>
              </w:rPr>
              <w:t>；</w:t>
            </w:r>
          </w:p>
          <w:p w14:paraId="6CD80129">
            <w:pPr>
              <w:spacing w:line="360" w:lineRule="auto"/>
              <w:ind w:firstLine="420" w:firstLineChars="200"/>
              <w:jc w:val="left"/>
              <w:rPr>
                <w:rFonts w:hint="default"/>
                <w:lang w:val="en-US" w:eastAsia="zh-CN"/>
              </w:rPr>
            </w:pPr>
            <w:r>
              <w:rPr>
                <w:rFonts w:hint="eastAsia" w:ascii="宋体" w:hAnsi="宋体"/>
                <w:color w:val="000000"/>
                <w:sz w:val="21"/>
                <w:szCs w:val="21"/>
                <w:lang w:eastAsia="zh-CN"/>
              </w:rPr>
              <w:t>方案</w:t>
            </w:r>
            <w:r>
              <w:rPr>
                <w:rFonts w:hint="eastAsia" w:ascii="宋体" w:hAnsi="宋体"/>
                <w:color w:val="000000"/>
                <w:sz w:val="21"/>
                <w:szCs w:val="21"/>
              </w:rPr>
              <w:t>阐述不清楚、可操作性差、不符合</w:t>
            </w:r>
            <w:r>
              <w:rPr>
                <w:rFonts w:hint="eastAsia" w:ascii="宋体" w:hAnsi="宋体"/>
                <w:color w:val="000000"/>
                <w:sz w:val="21"/>
                <w:szCs w:val="21"/>
                <w:lang w:eastAsia="zh-CN"/>
              </w:rPr>
              <w:t>采购人</w:t>
            </w:r>
            <w:r>
              <w:rPr>
                <w:rFonts w:hint="eastAsia" w:ascii="宋体" w:hAnsi="宋体"/>
                <w:color w:val="000000"/>
                <w:sz w:val="21"/>
                <w:szCs w:val="21"/>
              </w:rPr>
              <w:t>实际情况或未提供得0分</w:t>
            </w:r>
            <w:r>
              <w:rPr>
                <w:rFonts w:hint="eastAsia" w:ascii="宋体" w:hAnsi="宋体"/>
                <w:color w:val="000000"/>
                <w:sz w:val="21"/>
                <w:szCs w:val="21"/>
                <w:lang w:eastAsia="zh-CN"/>
              </w:rPr>
              <w:t>。</w:t>
            </w:r>
          </w:p>
        </w:tc>
        <w:tc>
          <w:tcPr>
            <w:tcW w:w="1148" w:type="pct"/>
            <w:vAlign w:val="center"/>
          </w:tcPr>
          <w:p w14:paraId="1500F42B">
            <w:pPr>
              <w:spacing w:line="360" w:lineRule="auto"/>
              <w:ind w:left="-38" w:leftChars="0"/>
              <w:jc w:val="center"/>
              <w:rPr>
                <w:vertAlign w:val="baseline"/>
              </w:rPr>
            </w:pPr>
            <w:r>
              <w:rPr>
                <w:rFonts w:hint="eastAsia"/>
                <w:sz w:val="21"/>
                <w:szCs w:val="21"/>
                <w:vertAlign w:val="baseline"/>
              </w:rPr>
              <w:t>根据供应商的技术方案横向比较打分。</w:t>
            </w:r>
          </w:p>
        </w:tc>
      </w:tr>
      <w:tr w14:paraId="3781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53" w:type="pct"/>
            <w:vMerge w:val="restart"/>
            <w:vAlign w:val="center"/>
          </w:tcPr>
          <w:p w14:paraId="15DA5C09">
            <w:pPr>
              <w:spacing w:line="360" w:lineRule="auto"/>
              <w:ind w:firstLine="28"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584" w:type="pct"/>
            <w:vMerge w:val="restart"/>
            <w:vAlign w:val="center"/>
          </w:tcPr>
          <w:p w14:paraId="3F0671CF">
            <w:pPr>
              <w:spacing w:line="360" w:lineRule="auto"/>
              <w:ind w:firstLine="28" w:firstLineChars="0"/>
              <w:jc w:val="center"/>
              <w:rPr>
                <w:rFonts w:hint="eastAsia"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11</w:t>
            </w:r>
            <w:r>
              <w:rPr>
                <w:rFonts w:hint="eastAsia" w:ascii="宋体" w:hAnsi="宋体" w:cs="宋体"/>
                <w:sz w:val="21"/>
                <w:szCs w:val="21"/>
              </w:rPr>
              <w:t>%）</w:t>
            </w:r>
          </w:p>
        </w:tc>
        <w:tc>
          <w:tcPr>
            <w:tcW w:w="599" w:type="pct"/>
            <w:vMerge w:val="restart"/>
            <w:vAlign w:val="center"/>
          </w:tcPr>
          <w:p w14:paraId="13DF024C">
            <w:pPr>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11</w:t>
            </w:r>
            <w:r>
              <w:rPr>
                <w:rFonts w:hint="eastAsia" w:ascii="宋体" w:hAnsi="宋体" w:cs="宋体"/>
                <w:sz w:val="21"/>
                <w:szCs w:val="21"/>
              </w:rPr>
              <w:t>分</w:t>
            </w:r>
          </w:p>
        </w:tc>
        <w:tc>
          <w:tcPr>
            <w:tcW w:w="2313" w:type="pct"/>
            <w:vAlign w:val="center"/>
          </w:tcPr>
          <w:p w14:paraId="33EFD6DD">
            <w:pPr>
              <w:spacing w:line="360" w:lineRule="auto"/>
              <w:rPr>
                <w:rFonts w:ascii="宋体" w:hAnsi="宋体"/>
                <w:b/>
                <w:bCs/>
                <w:color w:val="000000"/>
                <w:sz w:val="21"/>
                <w:szCs w:val="21"/>
                <w:highlight w:val="none"/>
              </w:rPr>
            </w:pPr>
            <w:r>
              <w:rPr>
                <w:rFonts w:hint="eastAsia" w:ascii="宋体" w:hAnsi="宋体" w:cs="宋体"/>
                <w:b/>
                <w:bCs/>
                <w:sz w:val="21"/>
                <w:szCs w:val="21"/>
                <w:highlight w:val="none"/>
              </w:rPr>
              <w:t>一、</w:t>
            </w:r>
            <w:r>
              <w:rPr>
                <w:rFonts w:hint="eastAsia" w:ascii="宋体" w:hAnsi="宋体"/>
                <w:b/>
                <w:bCs/>
                <w:color w:val="000000"/>
                <w:sz w:val="21"/>
                <w:szCs w:val="21"/>
                <w:highlight w:val="none"/>
              </w:rPr>
              <w:t>业绩（</w:t>
            </w:r>
            <w:r>
              <w:rPr>
                <w:rFonts w:hint="eastAsia" w:ascii="宋体" w:hAnsi="宋体"/>
                <w:b/>
                <w:bCs/>
                <w:color w:val="000000"/>
                <w:sz w:val="21"/>
                <w:szCs w:val="21"/>
                <w:highlight w:val="none"/>
                <w:lang w:val="en-US" w:eastAsia="zh-CN"/>
              </w:rPr>
              <w:t>4</w:t>
            </w:r>
            <w:r>
              <w:rPr>
                <w:rFonts w:hint="eastAsia" w:ascii="宋体" w:hAnsi="宋体"/>
                <w:b/>
                <w:bCs/>
                <w:color w:val="000000"/>
                <w:sz w:val="21"/>
                <w:szCs w:val="21"/>
                <w:highlight w:val="none"/>
              </w:rPr>
              <w:t>分）</w:t>
            </w:r>
          </w:p>
          <w:p w14:paraId="2BA451C5">
            <w:pPr>
              <w:spacing w:line="360" w:lineRule="auto"/>
              <w:ind w:firstLine="420" w:firstLineChars="200"/>
              <w:rPr>
                <w:rFonts w:hint="eastAsia" w:ascii="宋体" w:hAnsi="宋体" w:eastAsia="宋体" w:cs="Times New Roman"/>
                <w:b w:val="0"/>
                <w:bCs w:val="0"/>
                <w:color w:val="000000"/>
                <w:kern w:val="2"/>
                <w:sz w:val="21"/>
                <w:szCs w:val="21"/>
                <w:highlight w:val="none"/>
                <w:lang w:val="en-US" w:eastAsia="zh-CN" w:bidi="ar-SA"/>
              </w:rPr>
            </w:pPr>
            <w:r>
              <w:rPr>
                <w:rFonts w:hint="eastAsia" w:ascii="宋体" w:hAnsi="宋体"/>
                <w:color w:val="000000"/>
                <w:sz w:val="21"/>
                <w:szCs w:val="21"/>
                <w:highlight w:val="none"/>
              </w:rPr>
              <w:t>2</w:t>
            </w:r>
            <w:r>
              <w:rPr>
                <w:rFonts w:hint="eastAsia"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lang w:val="en-US" w:eastAsia="zh-CN"/>
                <w14:textFill>
                  <w14:solidFill>
                    <w14:schemeClr w14:val="tx1"/>
                  </w14:solidFill>
                </w14:textFill>
              </w:rPr>
              <w:t>20</w:t>
            </w:r>
            <w:r>
              <w:rPr>
                <w:rFonts w:hint="eastAsia" w:ascii="宋体" w:hAnsi="宋体"/>
                <w:color w:val="000000" w:themeColor="text1"/>
                <w:sz w:val="21"/>
                <w:szCs w:val="21"/>
                <w:highlight w:val="none"/>
                <w14:textFill>
                  <w14:solidFill>
                    <w14:schemeClr w14:val="tx1"/>
                  </w14:solidFill>
                </w14:textFill>
              </w:rPr>
              <w:t>年1月1日</w:t>
            </w:r>
            <w:r>
              <w:rPr>
                <w:rFonts w:hint="eastAsia" w:ascii="宋体" w:hAnsi="宋体" w:cs="宋体"/>
                <w:color w:val="000000" w:themeColor="text1"/>
                <w:sz w:val="21"/>
                <w:szCs w:val="21"/>
                <w:highlight w:val="none"/>
                <w14:textFill>
                  <w14:solidFill>
                    <w14:schemeClr w14:val="tx1"/>
                  </w14:solidFill>
                </w14:textFill>
              </w:rPr>
              <w:t>至磋商时间止（以合同签订时间为准）</w:t>
            </w:r>
            <w:r>
              <w:rPr>
                <w:rFonts w:hint="eastAsia" w:ascii="宋体" w:hAnsi="宋体"/>
                <w:color w:val="000000" w:themeColor="text1"/>
                <w:sz w:val="21"/>
                <w:szCs w:val="21"/>
                <w:highlight w:val="none"/>
                <w14:textFill>
                  <w14:solidFill>
                    <w14:schemeClr w14:val="tx1"/>
                  </w14:solidFill>
                </w14:textFill>
              </w:rPr>
              <w:t>，供应商承担过类似项目</w:t>
            </w:r>
            <w:r>
              <w:rPr>
                <w:rFonts w:hint="eastAsia" w:ascii="宋体" w:hAnsi="宋体"/>
                <w:color w:val="000000" w:themeColor="text1"/>
                <w:sz w:val="21"/>
                <w:szCs w:val="21"/>
                <w:highlight w:val="none"/>
                <w:lang w:val="en-US" w:eastAsia="zh-CN"/>
                <w14:textFill>
                  <w14:solidFill>
                    <w14:schemeClr w14:val="tx1"/>
                  </w14:solidFill>
                </w14:textFill>
              </w:rPr>
              <w:t>的</w:t>
            </w:r>
            <w:r>
              <w:rPr>
                <w:rFonts w:hint="eastAsia" w:ascii="宋体" w:hAnsi="宋体"/>
                <w:color w:val="000000" w:themeColor="text1"/>
                <w:sz w:val="21"/>
                <w:szCs w:val="21"/>
                <w:highlight w:val="none"/>
                <w14:textFill>
                  <w14:solidFill>
                    <w14:schemeClr w14:val="tx1"/>
                  </w14:solidFill>
                </w14:textFill>
              </w:rPr>
              <w:t>，提供一</w:t>
            </w:r>
            <w:r>
              <w:rPr>
                <w:rFonts w:hint="eastAsia" w:ascii="宋体" w:hAnsi="宋体"/>
                <w:color w:val="000000" w:themeColor="text1"/>
                <w:sz w:val="21"/>
                <w:szCs w:val="21"/>
                <w:highlight w:val="none"/>
                <w:lang w:val="en-US" w:eastAsia="zh-CN"/>
                <w14:textFill>
                  <w14:solidFill>
                    <w14:schemeClr w14:val="tx1"/>
                  </w14:solidFill>
                </w14:textFill>
              </w:rPr>
              <w:t>个</w:t>
            </w:r>
            <w:r>
              <w:rPr>
                <w:rFonts w:hint="eastAsia" w:ascii="宋体" w:hAnsi="宋体"/>
                <w:color w:val="000000" w:themeColor="text1"/>
                <w:sz w:val="21"/>
                <w:szCs w:val="21"/>
                <w:highlight w:val="none"/>
                <w14:textFill>
                  <w14:solidFill>
                    <w14:schemeClr w14:val="tx1"/>
                  </w14:solidFill>
                </w14:textFill>
              </w:rPr>
              <w:t>得</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分，满分</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分。</w:t>
            </w:r>
          </w:p>
        </w:tc>
        <w:tc>
          <w:tcPr>
            <w:tcW w:w="1148" w:type="pct"/>
            <w:vAlign w:val="center"/>
          </w:tcPr>
          <w:p w14:paraId="3F7928F1">
            <w:pPr>
              <w:spacing w:line="360" w:lineRule="auto"/>
              <w:ind w:left="-38" w:leftChars="0"/>
              <w:rPr>
                <w:highlight w:val="none"/>
                <w:vertAlign w:val="baseline"/>
              </w:rPr>
            </w:pPr>
            <w:r>
              <w:rPr>
                <w:rFonts w:hint="eastAsia" w:ascii="宋体" w:hAnsi="宋体"/>
                <w:color w:val="000000"/>
                <w:sz w:val="21"/>
                <w:szCs w:val="21"/>
                <w:highlight w:val="none"/>
              </w:rPr>
              <w:t>供应商须提供合同及验收报告复印件，</w:t>
            </w:r>
            <w:r>
              <w:rPr>
                <w:rFonts w:hint="eastAsia" w:ascii="宋体" w:hAnsi="宋体"/>
                <w:color w:val="000000"/>
                <w:sz w:val="21"/>
                <w:szCs w:val="21"/>
                <w:highlight w:val="none"/>
                <w:lang w:val="en-US" w:eastAsia="zh-CN"/>
              </w:rPr>
              <w:t>并</w:t>
            </w:r>
            <w:r>
              <w:rPr>
                <w:rFonts w:hint="eastAsia" w:ascii="宋体" w:hAnsi="宋体"/>
                <w:color w:val="000000"/>
                <w:sz w:val="21"/>
                <w:szCs w:val="21"/>
                <w:highlight w:val="none"/>
              </w:rPr>
              <w:t>加盖供应商公章。</w:t>
            </w:r>
          </w:p>
        </w:tc>
      </w:tr>
      <w:tr w14:paraId="4D3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353" w:type="pct"/>
            <w:vMerge w:val="continue"/>
            <w:vAlign w:val="center"/>
          </w:tcPr>
          <w:p w14:paraId="6A10F543">
            <w:pPr>
              <w:spacing w:line="360" w:lineRule="auto"/>
              <w:ind w:firstLine="28" w:firstLineChars="0"/>
              <w:jc w:val="center"/>
              <w:rPr>
                <w:rFonts w:hint="eastAsia" w:ascii="宋体" w:hAnsi="宋体" w:cs="宋体"/>
                <w:sz w:val="21"/>
                <w:szCs w:val="21"/>
                <w:lang w:val="en-US" w:eastAsia="zh-CN"/>
              </w:rPr>
            </w:pPr>
          </w:p>
        </w:tc>
        <w:tc>
          <w:tcPr>
            <w:tcW w:w="584" w:type="pct"/>
            <w:vMerge w:val="continue"/>
            <w:vAlign w:val="center"/>
          </w:tcPr>
          <w:p w14:paraId="50A53705">
            <w:pPr>
              <w:spacing w:line="360" w:lineRule="auto"/>
              <w:ind w:firstLine="28" w:firstLineChars="0"/>
              <w:jc w:val="center"/>
              <w:rPr>
                <w:rFonts w:hint="eastAsia" w:ascii="宋体" w:hAnsi="宋体" w:cs="宋体"/>
                <w:sz w:val="21"/>
                <w:szCs w:val="21"/>
              </w:rPr>
            </w:pPr>
          </w:p>
        </w:tc>
        <w:tc>
          <w:tcPr>
            <w:tcW w:w="599" w:type="pct"/>
            <w:vMerge w:val="continue"/>
            <w:vAlign w:val="center"/>
          </w:tcPr>
          <w:p w14:paraId="6479BC77">
            <w:pPr>
              <w:spacing w:line="360" w:lineRule="auto"/>
              <w:jc w:val="center"/>
              <w:rPr>
                <w:rFonts w:hint="eastAsia" w:ascii="宋体" w:hAnsi="宋体" w:cs="宋体"/>
                <w:sz w:val="21"/>
                <w:szCs w:val="21"/>
                <w:lang w:val="en-US" w:eastAsia="zh-CN"/>
              </w:rPr>
            </w:pPr>
          </w:p>
        </w:tc>
        <w:tc>
          <w:tcPr>
            <w:tcW w:w="2313" w:type="pct"/>
            <w:vAlign w:val="center"/>
          </w:tcPr>
          <w:p w14:paraId="37A6C12B">
            <w:pPr>
              <w:spacing w:line="360" w:lineRule="auto"/>
              <w:rPr>
                <w:rFonts w:hint="eastAsia" w:ascii="宋体" w:hAnsi="宋体"/>
                <w:b/>
                <w:bCs/>
                <w:color w:val="000000"/>
                <w:sz w:val="21"/>
                <w:szCs w:val="21"/>
                <w:highlight w:val="none"/>
                <w:lang w:val="en-US" w:eastAsia="zh-CN"/>
              </w:rPr>
            </w:pPr>
            <w:r>
              <w:rPr>
                <w:rFonts w:hint="eastAsia" w:ascii="宋体" w:hAnsi="宋体"/>
                <w:b/>
                <w:bCs/>
                <w:color w:val="000000"/>
                <w:sz w:val="21"/>
                <w:szCs w:val="21"/>
                <w:highlight w:val="none"/>
                <w:lang w:val="en-US" w:eastAsia="zh-CN"/>
              </w:rPr>
              <w:t>二、团队人员（4分）</w:t>
            </w:r>
          </w:p>
          <w:p w14:paraId="5972BBAD">
            <w:pPr>
              <w:pStyle w:val="2"/>
              <w:numPr>
                <w:ilvl w:val="0"/>
                <w:numId w:val="0"/>
              </w:numPr>
              <w:spacing w:line="360" w:lineRule="auto"/>
              <w:ind w:left="0" w:leftChars="0" w:firstLine="420" w:firstLineChars="200"/>
              <w:rPr>
                <w:rFonts w:hint="eastAsia" w:ascii="仿宋_GB2312" w:eastAsia="仿宋_GB2312" w:hAnsiTheme="minorHAnsi" w:cstheme="minorBidi"/>
                <w:kern w:val="2"/>
                <w:sz w:val="32"/>
                <w:szCs w:val="24"/>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供应商项目组成人员中，</w:t>
            </w:r>
            <w:r>
              <w:rPr>
                <w:rFonts w:hint="default" w:ascii="宋体" w:hAnsi="宋体" w:eastAsia="宋体" w:cs="Times New Roman"/>
                <w:color w:val="000000"/>
                <w:kern w:val="2"/>
                <w:sz w:val="21"/>
                <w:szCs w:val="21"/>
                <w:highlight w:val="none"/>
                <w:lang w:val="en-US" w:eastAsia="zh-CN" w:bidi="ar-SA"/>
              </w:rPr>
              <w:t>具有</w:t>
            </w:r>
            <w:r>
              <w:rPr>
                <w:rFonts w:hint="eastAsia" w:ascii="宋体" w:hAnsi="宋体" w:eastAsia="宋体" w:cs="Times New Roman"/>
                <w:color w:val="000000"/>
                <w:kern w:val="2"/>
                <w:sz w:val="21"/>
                <w:szCs w:val="21"/>
                <w:highlight w:val="none"/>
                <w:lang w:val="en-US" w:eastAsia="zh-CN" w:bidi="ar-SA"/>
              </w:rPr>
              <w:t>电子信息或通信类</w:t>
            </w:r>
            <w:r>
              <w:rPr>
                <w:rFonts w:hint="default" w:ascii="宋体" w:hAnsi="宋体" w:eastAsia="宋体" w:cs="Times New Roman"/>
                <w:color w:val="000000"/>
                <w:kern w:val="2"/>
                <w:sz w:val="21"/>
                <w:szCs w:val="21"/>
                <w:highlight w:val="none"/>
                <w:lang w:val="en-US" w:eastAsia="zh-CN" w:bidi="ar-SA"/>
              </w:rPr>
              <w:t>高级工程师或副教授及以上职称</w:t>
            </w:r>
            <w:r>
              <w:rPr>
                <w:rFonts w:hint="eastAsia" w:ascii="宋体" w:hAnsi="宋体" w:eastAsia="宋体" w:cs="Times New Roman"/>
                <w:color w:val="000000"/>
                <w:kern w:val="2"/>
                <w:sz w:val="21"/>
                <w:szCs w:val="21"/>
                <w:highlight w:val="none"/>
                <w:lang w:val="en-US" w:eastAsia="zh-CN" w:bidi="ar-SA"/>
              </w:rPr>
              <w:t>，每</w:t>
            </w:r>
            <w:r>
              <w:rPr>
                <w:rFonts w:hint="default" w:ascii="宋体" w:hAnsi="宋体" w:eastAsia="宋体" w:cs="Times New Roman"/>
                <w:color w:val="000000"/>
                <w:kern w:val="2"/>
                <w:sz w:val="21"/>
                <w:szCs w:val="21"/>
                <w:highlight w:val="none"/>
                <w:lang w:val="en-US" w:eastAsia="zh-CN" w:bidi="ar-SA"/>
              </w:rPr>
              <w:t>提供一个得2分，满分</w:t>
            </w:r>
            <w:r>
              <w:rPr>
                <w:rFonts w:hint="eastAsia" w:ascii="宋体" w:hAnsi="宋体" w:eastAsia="宋体" w:cs="Times New Roman"/>
                <w:color w:val="000000"/>
                <w:kern w:val="2"/>
                <w:sz w:val="21"/>
                <w:szCs w:val="21"/>
                <w:highlight w:val="none"/>
                <w:lang w:val="en-US" w:eastAsia="zh-CN" w:bidi="ar-SA"/>
              </w:rPr>
              <w:t>4</w:t>
            </w:r>
            <w:r>
              <w:rPr>
                <w:rFonts w:hint="default" w:ascii="宋体" w:hAnsi="宋体" w:eastAsia="宋体" w:cs="Times New Roman"/>
                <w:color w:val="000000"/>
                <w:kern w:val="2"/>
                <w:sz w:val="21"/>
                <w:szCs w:val="21"/>
                <w:highlight w:val="none"/>
                <w:lang w:val="en-US" w:eastAsia="zh-CN" w:bidi="ar-SA"/>
              </w:rPr>
              <w:t>分。</w:t>
            </w:r>
          </w:p>
        </w:tc>
        <w:tc>
          <w:tcPr>
            <w:tcW w:w="1148" w:type="pct"/>
            <w:vAlign w:val="center"/>
          </w:tcPr>
          <w:p w14:paraId="6DFB4783">
            <w:pPr>
              <w:spacing w:line="360" w:lineRule="auto"/>
              <w:ind w:left="-38" w:leftChars="0"/>
              <w:rPr>
                <w:rFonts w:hint="eastAsia" w:ascii="宋体" w:hAnsi="宋体" w:eastAsiaTheme="minorEastAsia" w:cstheme="minorBidi"/>
                <w:color w:val="000000"/>
                <w:kern w:val="2"/>
                <w:sz w:val="21"/>
                <w:szCs w:val="21"/>
                <w:highlight w:val="none"/>
                <w:lang w:val="en-US" w:eastAsia="zh-CN" w:bidi="ar-SA"/>
              </w:rPr>
            </w:pPr>
            <w:r>
              <w:rPr>
                <w:rFonts w:hint="eastAsia" w:ascii="宋体" w:hAnsi="宋体"/>
                <w:color w:val="000000"/>
                <w:sz w:val="21"/>
                <w:szCs w:val="21"/>
                <w:highlight w:val="none"/>
                <w:lang w:val="en-US" w:eastAsia="zh-CN"/>
              </w:rPr>
              <w:t>提供拟派团队人员名单、供应商2025年为其缴纳任意月份的社保证明、职称证（相关证书）复印件，并加盖供应商公章。</w:t>
            </w:r>
          </w:p>
        </w:tc>
      </w:tr>
      <w:tr w14:paraId="002D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53" w:type="pct"/>
            <w:vMerge w:val="continue"/>
            <w:vAlign w:val="center"/>
          </w:tcPr>
          <w:p w14:paraId="58392C3C">
            <w:pPr>
              <w:spacing w:line="360" w:lineRule="auto"/>
              <w:ind w:firstLine="28" w:firstLineChars="0"/>
              <w:jc w:val="center"/>
              <w:rPr>
                <w:rFonts w:hint="eastAsia" w:ascii="宋体" w:hAnsi="宋体" w:cs="宋体"/>
                <w:sz w:val="21"/>
                <w:szCs w:val="21"/>
                <w:lang w:val="en-US" w:eastAsia="zh-CN"/>
              </w:rPr>
            </w:pPr>
          </w:p>
        </w:tc>
        <w:tc>
          <w:tcPr>
            <w:tcW w:w="584" w:type="pct"/>
            <w:vMerge w:val="continue"/>
            <w:vAlign w:val="center"/>
          </w:tcPr>
          <w:p w14:paraId="71E54172">
            <w:pPr>
              <w:spacing w:line="360" w:lineRule="auto"/>
              <w:ind w:firstLine="28" w:firstLineChars="0"/>
              <w:jc w:val="center"/>
              <w:rPr>
                <w:rFonts w:hint="eastAsia" w:ascii="宋体" w:hAnsi="宋体" w:cs="宋体"/>
                <w:sz w:val="21"/>
                <w:szCs w:val="21"/>
              </w:rPr>
            </w:pPr>
          </w:p>
        </w:tc>
        <w:tc>
          <w:tcPr>
            <w:tcW w:w="599" w:type="pct"/>
            <w:vMerge w:val="continue"/>
            <w:vAlign w:val="center"/>
          </w:tcPr>
          <w:p w14:paraId="13427C8B">
            <w:pPr>
              <w:spacing w:line="360" w:lineRule="auto"/>
              <w:jc w:val="center"/>
              <w:rPr>
                <w:rFonts w:hint="eastAsia" w:ascii="宋体" w:hAnsi="宋体" w:cs="宋体"/>
                <w:sz w:val="21"/>
                <w:szCs w:val="21"/>
                <w:lang w:val="en-US" w:eastAsia="zh-CN"/>
              </w:rPr>
            </w:pPr>
          </w:p>
        </w:tc>
        <w:tc>
          <w:tcPr>
            <w:tcW w:w="2313" w:type="pct"/>
            <w:shd w:val="clear" w:color="auto" w:fill="auto"/>
            <w:vAlign w:val="center"/>
          </w:tcPr>
          <w:p w14:paraId="476D0C8D">
            <w:pPr>
              <w:numPr>
                <w:ilvl w:val="-1"/>
                <w:numId w:val="0"/>
              </w:numPr>
              <w:spacing w:line="360" w:lineRule="auto"/>
              <w:rPr>
                <w:rFonts w:hint="eastAsia" w:ascii="宋体" w:hAnsi="宋体" w:eastAsiaTheme="minorEastAsia" w:cstheme="minorBidi"/>
                <w:b/>
                <w:bCs/>
                <w:color w:val="000000"/>
                <w:sz w:val="21"/>
                <w:szCs w:val="21"/>
                <w:lang w:val="en-US" w:eastAsia="zh-CN"/>
              </w:rPr>
            </w:pPr>
            <w:r>
              <w:rPr>
                <w:rFonts w:hint="eastAsia" w:ascii="宋体" w:hAnsi="宋体" w:cstheme="minorBidi"/>
                <w:b/>
                <w:bCs/>
                <w:color w:val="000000"/>
                <w:sz w:val="21"/>
                <w:szCs w:val="21"/>
                <w:lang w:val="en-US" w:eastAsia="zh-CN"/>
              </w:rPr>
              <w:t>三、</w:t>
            </w:r>
            <w:r>
              <w:rPr>
                <w:rFonts w:hint="eastAsia" w:ascii="宋体" w:hAnsi="宋体" w:eastAsiaTheme="minorEastAsia" w:cstheme="minorBidi"/>
                <w:b/>
                <w:bCs/>
                <w:color w:val="000000"/>
                <w:sz w:val="21"/>
                <w:szCs w:val="21"/>
                <w:lang w:val="en-US" w:eastAsia="zh-CN"/>
              </w:rPr>
              <w:t>资质（</w:t>
            </w:r>
            <w:r>
              <w:rPr>
                <w:rFonts w:hint="eastAsia" w:ascii="宋体" w:hAnsi="宋体" w:cstheme="minorBidi"/>
                <w:b/>
                <w:bCs/>
                <w:color w:val="000000"/>
                <w:sz w:val="21"/>
                <w:szCs w:val="21"/>
                <w:lang w:val="en-US" w:eastAsia="zh-CN"/>
              </w:rPr>
              <w:t>3</w:t>
            </w:r>
            <w:r>
              <w:rPr>
                <w:rFonts w:hint="eastAsia" w:ascii="宋体" w:hAnsi="宋体" w:eastAsiaTheme="minorEastAsia" w:cstheme="minorBidi"/>
                <w:b/>
                <w:bCs/>
                <w:color w:val="000000"/>
                <w:sz w:val="21"/>
                <w:szCs w:val="21"/>
                <w:lang w:val="en-US" w:eastAsia="zh-CN"/>
              </w:rPr>
              <w:t>分）</w:t>
            </w:r>
          </w:p>
          <w:p w14:paraId="51566B86">
            <w:pPr>
              <w:pStyle w:val="2"/>
              <w:numPr>
                <w:ilvl w:val="0"/>
                <w:numId w:val="0"/>
              </w:numPr>
              <w:spacing w:line="360" w:lineRule="auto"/>
              <w:ind w:left="0" w:leftChars="0"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b w:val="0"/>
                <w:bCs w:val="0"/>
                <w:color w:val="000000"/>
                <w:sz w:val="21"/>
                <w:szCs w:val="21"/>
                <w:lang w:val="en-US" w:eastAsia="zh-CN"/>
              </w:rPr>
              <w:t>供应商提供质量管理体系认证证书（ISO9001）、信息技术服务管理体系认证证书（ISO20000）、CCRC信息安全风险评估服务资质三级及以上，每提供1个得1分，最多得3分。</w:t>
            </w:r>
          </w:p>
        </w:tc>
        <w:tc>
          <w:tcPr>
            <w:tcW w:w="1148" w:type="pct"/>
            <w:shd w:val="clear" w:color="auto" w:fill="auto"/>
            <w:vAlign w:val="center"/>
          </w:tcPr>
          <w:p w14:paraId="1DE10F39">
            <w:pPr>
              <w:spacing w:line="360" w:lineRule="auto"/>
              <w:ind w:left="-38" w:leftChars="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 w:val="21"/>
                <w:szCs w:val="21"/>
                <w:lang w:val="en-US" w:eastAsia="zh-CN"/>
              </w:rPr>
              <w:t>提供证书复印件，并加盖供应商公章。</w:t>
            </w:r>
          </w:p>
        </w:tc>
      </w:tr>
    </w:tbl>
    <w:p w14:paraId="3CF414F4">
      <w:pPr>
        <w:pStyle w:val="5"/>
        <w:spacing w:before="0" w:after="0" w:line="500" w:lineRule="exact"/>
        <w:ind w:firstLine="482" w:firstLineChars="200"/>
        <w:rPr>
          <w:rFonts w:hint="eastAsia" w:ascii="宋体" w:hAnsi="宋体" w:cs="宋体" w:eastAsiaTheme="minorEastAsia"/>
          <w:color w:val="auto"/>
          <w:sz w:val="24"/>
          <w:szCs w:val="24"/>
          <w:highlight w:val="none"/>
          <w:lang w:val="en-US" w:eastAsia="zh-CN"/>
        </w:rPr>
      </w:pPr>
      <w:bookmarkStart w:id="127" w:name="_Toc28865"/>
      <w:bookmarkStart w:id="128" w:name="_Toc14414"/>
      <w:bookmarkStart w:id="129" w:name="_Toc3446"/>
      <w:bookmarkStart w:id="130" w:name="_Toc5402"/>
      <w:r>
        <w:rPr>
          <w:rFonts w:hint="eastAsia" w:ascii="宋体" w:hAnsi="宋体" w:cs="宋体"/>
          <w:color w:val="auto"/>
          <w:sz w:val="24"/>
          <w:szCs w:val="24"/>
          <w:highlight w:val="none"/>
        </w:rPr>
        <w:t>注：关于小微企业报价扣除比例说明</w:t>
      </w:r>
      <w:bookmarkEnd w:id="127"/>
      <w:bookmarkEnd w:id="128"/>
      <w:bookmarkEnd w:id="129"/>
      <w:bookmarkEnd w:id="130"/>
    </w:p>
    <w:p w14:paraId="7B277EA5">
      <w:pPr>
        <w:pStyle w:val="5"/>
        <w:spacing w:before="0" w:after="0" w:line="500" w:lineRule="exact"/>
        <w:ind w:firstLine="480" w:firstLineChars="200"/>
        <w:rPr>
          <w:rFonts w:ascii="宋体" w:hAnsi="宋体" w:cs="宋体"/>
          <w:b w:val="0"/>
          <w:bCs/>
          <w:color w:val="auto"/>
          <w:sz w:val="24"/>
          <w:szCs w:val="24"/>
          <w:highlight w:val="none"/>
        </w:rPr>
      </w:pPr>
      <w:bookmarkStart w:id="131" w:name="_Toc16994"/>
      <w:bookmarkStart w:id="132" w:name="_Toc23700"/>
      <w:bookmarkStart w:id="133" w:name="_Toc24118"/>
      <w:bookmarkStart w:id="134" w:name="_Toc28197"/>
      <w:r>
        <w:rPr>
          <w:rFonts w:hint="eastAsia" w:ascii="宋体" w:hAnsi="宋体" w:cs="宋体"/>
          <w:b w:val="0"/>
          <w:bCs/>
          <w:color w:val="auto"/>
          <w:sz w:val="24"/>
          <w:szCs w:val="24"/>
          <w:highlight w:val="none"/>
        </w:rPr>
        <w:t>1.供应商参与磋商的，对小微型企业给予</w:t>
      </w:r>
      <w:r>
        <w:rPr>
          <w:rFonts w:hint="eastAsia" w:ascii="宋体" w:hAnsi="宋体" w:cs="宋体"/>
          <w:b w:val="0"/>
          <w:bCs/>
          <w:color w:val="auto"/>
          <w:sz w:val="24"/>
          <w:szCs w:val="24"/>
          <w:highlight w:val="none"/>
          <w:u w:val="single"/>
          <w:lang w:val="en-US" w:eastAsia="zh-CN"/>
        </w:rPr>
        <w:t xml:space="preserve"> 10</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的扣除，以扣除后的报价参与评审。</w:t>
      </w:r>
      <w:bookmarkEnd w:id="131"/>
      <w:bookmarkEnd w:id="132"/>
      <w:bookmarkEnd w:id="133"/>
      <w:bookmarkEnd w:id="134"/>
    </w:p>
    <w:p w14:paraId="2255F446">
      <w:pPr>
        <w:pStyle w:val="5"/>
        <w:spacing w:before="0" w:after="0" w:line="500" w:lineRule="exact"/>
        <w:ind w:firstLine="480" w:firstLineChars="200"/>
        <w:rPr>
          <w:rFonts w:ascii="宋体" w:hAnsi="宋体" w:cs="宋体"/>
          <w:b w:val="0"/>
          <w:bCs/>
          <w:color w:val="auto"/>
          <w:sz w:val="24"/>
          <w:szCs w:val="24"/>
          <w:highlight w:val="none"/>
        </w:rPr>
      </w:pPr>
      <w:bookmarkStart w:id="135" w:name="_Toc23849"/>
      <w:bookmarkStart w:id="136" w:name="_Toc30908"/>
      <w:bookmarkStart w:id="137" w:name="_Toc12285"/>
      <w:bookmarkStart w:id="138" w:name="_Toc25444"/>
      <w:r>
        <w:rPr>
          <w:rFonts w:hint="eastAsia" w:ascii="宋体" w:hAnsi="宋体" w:cs="宋体"/>
          <w:b w:val="0"/>
          <w:bCs/>
          <w:color w:val="auto"/>
          <w:sz w:val="24"/>
          <w:szCs w:val="24"/>
          <w:highlight w:val="none"/>
        </w:rPr>
        <w:t>2.监狱企业、残疾人福利性单位视同小型、微型企业。</w:t>
      </w:r>
      <w:bookmarkEnd w:id="135"/>
      <w:bookmarkEnd w:id="136"/>
      <w:bookmarkEnd w:id="137"/>
      <w:bookmarkEnd w:id="138"/>
    </w:p>
    <w:p w14:paraId="1E1A455C">
      <w:pPr>
        <w:pStyle w:val="5"/>
        <w:spacing w:before="0" w:after="0" w:line="500" w:lineRule="exact"/>
        <w:ind w:firstLine="482" w:firstLineChars="200"/>
        <w:rPr>
          <w:rFonts w:ascii="宋体" w:hAnsi="宋体" w:cs="宋体"/>
          <w:color w:val="auto"/>
          <w:sz w:val="24"/>
          <w:szCs w:val="24"/>
          <w:highlight w:val="none"/>
        </w:rPr>
      </w:pPr>
      <w:bookmarkStart w:id="139" w:name="_Toc3020"/>
      <w:bookmarkStart w:id="140" w:name="_Toc28097"/>
      <w:bookmarkStart w:id="141" w:name="_Toc22929"/>
      <w:bookmarkStart w:id="142" w:name="_Toc18278"/>
      <w:r>
        <w:rPr>
          <w:rFonts w:hint="eastAsia" w:ascii="宋体" w:hAnsi="宋体" w:cs="宋体"/>
          <w:color w:val="auto"/>
          <w:sz w:val="24"/>
          <w:szCs w:val="24"/>
          <w:highlight w:val="none"/>
        </w:rPr>
        <w:t>三、无效响应</w:t>
      </w:r>
      <w:bookmarkEnd w:id="139"/>
      <w:bookmarkEnd w:id="140"/>
      <w:bookmarkEnd w:id="141"/>
      <w:bookmarkEnd w:id="142"/>
    </w:p>
    <w:p w14:paraId="6C629AD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5CE9B7C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5102170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183414A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168D4BE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00C5D07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05CEEDD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4E5D7AD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66A9AE4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0B378E7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14:paraId="40D3E40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5E7AE401">
      <w:pPr>
        <w:pStyle w:val="5"/>
        <w:spacing w:before="0" w:after="0" w:line="500" w:lineRule="exact"/>
        <w:ind w:firstLine="482" w:firstLineChars="200"/>
        <w:rPr>
          <w:rFonts w:ascii="宋体" w:hAnsi="宋体" w:cs="宋体"/>
          <w:color w:val="auto"/>
          <w:sz w:val="24"/>
          <w:szCs w:val="24"/>
          <w:highlight w:val="none"/>
        </w:rPr>
      </w:pPr>
      <w:bookmarkStart w:id="143" w:name="_Toc3758"/>
      <w:bookmarkStart w:id="144" w:name="_Toc4208"/>
      <w:bookmarkStart w:id="145" w:name="_Toc26228"/>
      <w:bookmarkStart w:id="146" w:name="_Toc14623"/>
      <w:r>
        <w:rPr>
          <w:rFonts w:hint="eastAsia" w:ascii="宋体" w:hAnsi="宋体" w:cs="宋体"/>
          <w:color w:val="auto"/>
          <w:sz w:val="24"/>
          <w:szCs w:val="24"/>
          <w:highlight w:val="none"/>
        </w:rPr>
        <w:t>四、采购终止</w:t>
      </w:r>
      <w:bookmarkEnd w:id="143"/>
      <w:bookmarkEnd w:id="144"/>
      <w:bookmarkEnd w:id="145"/>
      <w:bookmarkEnd w:id="146"/>
    </w:p>
    <w:p w14:paraId="718CD20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或者采购代理机构应当终止竞争性磋商采购活动，发布项目终止公告并说明原因，重新开展采购活动：</w:t>
      </w:r>
    </w:p>
    <w:p w14:paraId="36394E4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式适用情形的；</w:t>
      </w:r>
    </w:p>
    <w:p w14:paraId="1C58396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69C64B69">
      <w:pPr>
        <w:spacing w:line="500" w:lineRule="exact"/>
        <w:ind w:firstLine="480" w:firstLineChars="200"/>
        <w:rPr>
          <w:rFonts w:ascii="宋体" w:hAnsi="宋体" w:cs="宋体"/>
          <w:color w:val="auto"/>
          <w:sz w:val="24"/>
          <w:szCs w:val="24"/>
          <w:highlight w:val="none"/>
        </w:rPr>
        <w:sectPr>
          <w:footerReference r:id="rId7" w:type="default"/>
          <w:footerReference r:id="rId8" w:type="even"/>
          <w:pgSz w:w="11907" w:h="16840"/>
          <w:pgMar w:top="1134" w:right="1191" w:bottom="1134" w:left="1191" w:header="964" w:footer="992" w:gutter="0"/>
          <w:pgNumType w:fmt="numberInDash" w:start="1"/>
          <w:cols w:space="720" w:num="1"/>
          <w:docGrid w:linePitch="312" w:charSpace="0"/>
        </w:sectPr>
      </w:pPr>
      <w:r>
        <w:rPr>
          <w:rFonts w:hint="eastAsia" w:ascii="宋体" w:hAnsi="宋体" w:cs="宋体"/>
          <w:color w:val="auto"/>
          <w:sz w:val="24"/>
          <w:szCs w:val="24"/>
          <w:highlight w:val="none"/>
        </w:rPr>
        <w:t>（三）在采购过程中符合要求的供应商或者报价未超过采购预算的供应商不足3家的，但《政府采购竞争性磋商</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式管理暂行办法》第二十一条第三款规定的情形除外。</w:t>
      </w:r>
    </w:p>
    <w:p w14:paraId="63EE8AD0">
      <w:pPr>
        <w:pStyle w:val="4"/>
        <w:pageBreakBefore/>
        <w:spacing w:line="360" w:lineRule="auto"/>
        <w:jc w:val="center"/>
        <w:rPr>
          <w:rFonts w:ascii="宋体" w:hAnsi="宋体" w:eastAsia="宋体" w:cs="宋体"/>
          <w:b w:val="0"/>
          <w:color w:val="auto"/>
          <w:sz w:val="36"/>
          <w:szCs w:val="30"/>
          <w:highlight w:val="none"/>
        </w:rPr>
      </w:pPr>
      <w:bookmarkStart w:id="147" w:name="_Toc31473"/>
      <w:bookmarkStart w:id="148" w:name="_Toc102227313"/>
      <w:bookmarkStart w:id="149" w:name="_Toc24088"/>
      <w:bookmarkStart w:id="150" w:name="_Toc4940"/>
      <w:bookmarkStart w:id="151" w:name="_Toc4699"/>
      <w:bookmarkStart w:id="152" w:name="_Toc20130552"/>
      <w:r>
        <w:rPr>
          <w:rFonts w:hint="eastAsia" w:ascii="宋体" w:hAnsi="宋体" w:eastAsia="宋体" w:cs="宋体"/>
          <w:b w:val="0"/>
          <w:color w:val="auto"/>
          <w:sz w:val="36"/>
          <w:szCs w:val="30"/>
          <w:highlight w:val="none"/>
        </w:rPr>
        <w:t>第五篇  供应商须知</w:t>
      </w:r>
      <w:bookmarkEnd w:id="147"/>
      <w:bookmarkEnd w:id="148"/>
      <w:bookmarkEnd w:id="149"/>
      <w:bookmarkEnd w:id="150"/>
      <w:bookmarkEnd w:id="151"/>
      <w:bookmarkEnd w:id="152"/>
    </w:p>
    <w:p w14:paraId="7478383E">
      <w:pPr>
        <w:pStyle w:val="5"/>
        <w:spacing w:before="0" w:after="0" w:line="500" w:lineRule="exact"/>
        <w:ind w:firstLine="482" w:firstLineChars="200"/>
        <w:rPr>
          <w:rFonts w:ascii="宋体" w:hAnsi="宋体" w:cs="宋体"/>
          <w:color w:val="auto"/>
          <w:sz w:val="24"/>
          <w:szCs w:val="24"/>
          <w:highlight w:val="none"/>
        </w:rPr>
      </w:pPr>
      <w:bookmarkStart w:id="153" w:name="_Toc20549"/>
      <w:bookmarkStart w:id="154" w:name="_Toc22255"/>
      <w:bookmarkStart w:id="155" w:name="_Toc20130553"/>
      <w:bookmarkStart w:id="156" w:name="_Toc31801"/>
      <w:bookmarkStart w:id="157" w:name="_Toc342913389"/>
      <w:bookmarkStart w:id="158" w:name="_Toc6381"/>
      <w:r>
        <w:rPr>
          <w:rFonts w:hint="eastAsia" w:ascii="宋体" w:hAnsi="宋体" w:cs="宋体"/>
          <w:color w:val="auto"/>
          <w:sz w:val="24"/>
          <w:szCs w:val="24"/>
          <w:highlight w:val="none"/>
        </w:rPr>
        <w:t>一、磋商费用</w:t>
      </w:r>
      <w:bookmarkEnd w:id="153"/>
      <w:bookmarkEnd w:id="154"/>
      <w:bookmarkEnd w:id="155"/>
      <w:bookmarkEnd w:id="156"/>
      <w:bookmarkEnd w:id="157"/>
      <w:bookmarkEnd w:id="158"/>
    </w:p>
    <w:p w14:paraId="74981C54">
      <w:pPr>
        <w:pStyle w:val="22"/>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和采购代理机构在任何情况下无义务也无责任承担这些费用。</w:t>
      </w:r>
    </w:p>
    <w:p w14:paraId="69D58033">
      <w:pPr>
        <w:pStyle w:val="5"/>
        <w:tabs>
          <w:tab w:val="left" w:pos="2640"/>
        </w:tabs>
        <w:spacing w:before="0" w:after="0" w:line="500" w:lineRule="exact"/>
        <w:ind w:firstLine="482" w:firstLineChars="200"/>
        <w:rPr>
          <w:rFonts w:ascii="宋体" w:hAnsi="宋体" w:cs="宋体"/>
          <w:color w:val="auto"/>
          <w:sz w:val="24"/>
          <w:szCs w:val="24"/>
          <w:highlight w:val="none"/>
        </w:rPr>
      </w:pPr>
      <w:bookmarkStart w:id="159" w:name="_Toc23826"/>
      <w:bookmarkStart w:id="160" w:name="_Toc20130554"/>
      <w:bookmarkStart w:id="161" w:name="_Toc12423"/>
      <w:bookmarkStart w:id="162" w:name="_Toc342913391"/>
      <w:bookmarkStart w:id="163" w:name="_Toc8371"/>
      <w:bookmarkStart w:id="164" w:name="_Toc21081"/>
      <w:r>
        <w:rPr>
          <w:rFonts w:hint="eastAsia" w:ascii="宋体" w:hAnsi="宋体" w:cs="宋体"/>
          <w:color w:val="auto"/>
          <w:sz w:val="24"/>
          <w:szCs w:val="24"/>
          <w:highlight w:val="none"/>
        </w:rPr>
        <w:t>二、竞争性磋商文件</w:t>
      </w:r>
      <w:bookmarkEnd w:id="159"/>
      <w:bookmarkEnd w:id="160"/>
      <w:bookmarkEnd w:id="161"/>
      <w:bookmarkEnd w:id="162"/>
      <w:bookmarkEnd w:id="163"/>
      <w:bookmarkEnd w:id="164"/>
    </w:p>
    <w:p w14:paraId="7720E9F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39E52B66">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（或采购代理机构）所作的一切有效的书面通知、修改及补充，都是竞争性磋商文件不可分割的部分。</w:t>
      </w:r>
    </w:p>
    <w:p w14:paraId="0217628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024B6D2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（或采购代理机构）要求澄清，</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65" w:name="_Toc318159160"/>
      <w:bookmarkStart w:id="166" w:name="_Toc318159780"/>
      <w:bookmarkStart w:id="167" w:name="_Toc318166429"/>
      <w:bookmarkStart w:id="168" w:name="_Toc318159349"/>
    </w:p>
    <w:p w14:paraId="4124F2A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1AAC525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65"/>
    <w:bookmarkEnd w:id="166"/>
    <w:bookmarkEnd w:id="167"/>
    <w:bookmarkEnd w:id="168"/>
    <w:p w14:paraId="43437FC6">
      <w:pPr>
        <w:pStyle w:val="5"/>
        <w:spacing w:before="0" w:after="0" w:line="500" w:lineRule="exact"/>
        <w:ind w:firstLine="482" w:firstLineChars="200"/>
        <w:rPr>
          <w:rFonts w:ascii="宋体" w:hAnsi="宋体" w:cs="宋体"/>
          <w:color w:val="auto"/>
          <w:sz w:val="24"/>
          <w:szCs w:val="24"/>
          <w:highlight w:val="none"/>
        </w:rPr>
      </w:pPr>
      <w:bookmarkStart w:id="169" w:name="_Toc2278"/>
      <w:bookmarkStart w:id="170" w:name="_Toc30592"/>
      <w:bookmarkStart w:id="171" w:name="_Toc342913392"/>
      <w:bookmarkStart w:id="172" w:name="_Toc1911"/>
      <w:bookmarkStart w:id="173" w:name="_Toc20130555"/>
      <w:bookmarkStart w:id="174" w:name="_Toc179714297"/>
      <w:bookmarkStart w:id="175" w:name="_Toc20823"/>
      <w:bookmarkStart w:id="176" w:name="_Toc102227318"/>
      <w:r>
        <w:rPr>
          <w:rFonts w:hint="eastAsia" w:ascii="宋体" w:hAnsi="宋体" w:cs="宋体"/>
          <w:color w:val="auto"/>
          <w:sz w:val="24"/>
          <w:szCs w:val="24"/>
          <w:highlight w:val="none"/>
        </w:rPr>
        <w:t>三、磋商要求</w:t>
      </w:r>
      <w:bookmarkEnd w:id="169"/>
      <w:bookmarkEnd w:id="170"/>
      <w:bookmarkEnd w:id="171"/>
      <w:bookmarkEnd w:id="172"/>
      <w:bookmarkEnd w:id="173"/>
      <w:bookmarkEnd w:id="174"/>
      <w:bookmarkEnd w:id="175"/>
      <w:bookmarkEnd w:id="176"/>
    </w:p>
    <w:p w14:paraId="24E828F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3D02045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45EC00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38DB188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47D47B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43D4DECB">
      <w:pPr>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14:paraId="7871103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42D1F6C6">
      <w:pPr>
        <w:pStyle w:val="5"/>
        <w:spacing w:before="0" w:after="0" w:line="500" w:lineRule="exact"/>
        <w:ind w:firstLine="480" w:firstLineChars="200"/>
        <w:rPr>
          <w:rFonts w:ascii="宋体" w:hAnsi="宋体" w:cs="宋体"/>
          <w:b w:val="0"/>
          <w:bCs/>
          <w:color w:val="auto"/>
          <w:sz w:val="24"/>
          <w:szCs w:val="24"/>
          <w:highlight w:val="none"/>
        </w:rPr>
      </w:pPr>
      <w:bookmarkStart w:id="177" w:name="_Toc24593"/>
      <w:bookmarkStart w:id="178" w:name="_Toc10602"/>
      <w:bookmarkStart w:id="179" w:name="_Toc9186"/>
      <w:bookmarkStart w:id="180" w:name="_Toc23073"/>
      <w:bookmarkStart w:id="181" w:name="_Toc20130556"/>
      <w:r>
        <w:rPr>
          <w:rFonts w:hint="eastAsia" w:ascii="宋体" w:hAnsi="宋体" w:cs="宋体"/>
          <w:b w:val="0"/>
          <w:bCs/>
          <w:color w:val="auto"/>
          <w:sz w:val="24"/>
          <w:szCs w:val="24"/>
          <w:highlight w:val="none"/>
        </w:rPr>
        <w:t>（四）修正错误</w:t>
      </w:r>
      <w:bookmarkEnd w:id="177"/>
      <w:bookmarkEnd w:id="178"/>
      <w:bookmarkEnd w:id="179"/>
      <w:bookmarkEnd w:id="180"/>
    </w:p>
    <w:p w14:paraId="1CEBD38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011D00B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A77BDDA">
      <w:pPr>
        <w:pStyle w:val="5"/>
        <w:spacing w:before="0" w:after="0" w:line="500" w:lineRule="exact"/>
        <w:ind w:firstLine="480" w:firstLineChars="200"/>
        <w:rPr>
          <w:rFonts w:ascii="宋体" w:hAnsi="宋体" w:cs="宋体"/>
          <w:b w:val="0"/>
          <w:bCs/>
          <w:color w:val="auto"/>
          <w:sz w:val="24"/>
          <w:szCs w:val="24"/>
          <w:highlight w:val="none"/>
        </w:rPr>
      </w:pPr>
      <w:bookmarkStart w:id="182" w:name="_Toc10171"/>
      <w:bookmarkStart w:id="183" w:name="_Toc31223"/>
      <w:bookmarkStart w:id="184" w:name="_Toc15259"/>
      <w:bookmarkStart w:id="185" w:name="_Toc32424"/>
      <w:r>
        <w:rPr>
          <w:rFonts w:hint="eastAsia" w:ascii="宋体" w:hAnsi="宋体" w:cs="宋体"/>
          <w:b w:val="0"/>
          <w:bCs/>
          <w:color w:val="auto"/>
          <w:sz w:val="24"/>
          <w:szCs w:val="24"/>
          <w:highlight w:val="none"/>
        </w:rPr>
        <w:t>（五）提交响应文件的份数和签署</w:t>
      </w:r>
      <w:bookmarkEnd w:id="182"/>
      <w:bookmarkEnd w:id="183"/>
      <w:bookmarkEnd w:id="184"/>
      <w:bookmarkEnd w:id="185"/>
    </w:p>
    <w:p w14:paraId="35C2477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1.响应文件一式四份，其中正本一份，副本二份，电子文档一份（推荐采用光盘为电子文档载体）；副本可为正本的复印件，应与正本一致，如出现不一致情况以正本为准。</w:t>
      </w:r>
    </w:p>
    <w:p w14:paraId="36C31119">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64320DEA">
      <w:pPr>
        <w:pStyle w:val="5"/>
        <w:spacing w:before="0" w:after="0" w:line="500" w:lineRule="exact"/>
        <w:ind w:firstLine="480" w:firstLineChars="200"/>
        <w:rPr>
          <w:rFonts w:ascii="宋体" w:hAnsi="宋体" w:cs="宋体"/>
          <w:b w:val="0"/>
          <w:bCs/>
          <w:color w:val="auto"/>
          <w:sz w:val="24"/>
          <w:szCs w:val="24"/>
          <w:highlight w:val="none"/>
        </w:rPr>
      </w:pPr>
      <w:bookmarkStart w:id="186" w:name="_Toc31599"/>
      <w:bookmarkStart w:id="187" w:name="_Toc31873"/>
      <w:bookmarkStart w:id="188" w:name="_Toc27348"/>
      <w:bookmarkStart w:id="189" w:name="_Toc18443"/>
      <w:r>
        <w:rPr>
          <w:rFonts w:hint="eastAsia" w:ascii="宋体" w:hAnsi="宋体" w:cs="宋体"/>
          <w:b w:val="0"/>
          <w:bCs/>
          <w:color w:val="auto"/>
          <w:sz w:val="24"/>
          <w:szCs w:val="24"/>
          <w:highlight w:val="none"/>
        </w:rPr>
        <w:t>（六）响应文件的递交</w:t>
      </w:r>
      <w:bookmarkEnd w:id="186"/>
      <w:bookmarkEnd w:id="187"/>
      <w:bookmarkEnd w:id="188"/>
      <w:bookmarkEnd w:id="189"/>
    </w:p>
    <w:p w14:paraId="2B323DA5">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9554C35">
      <w:pPr>
        <w:pStyle w:val="5"/>
        <w:spacing w:before="0" w:after="0" w:line="500" w:lineRule="exact"/>
        <w:ind w:firstLine="480" w:firstLineChars="200"/>
        <w:rPr>
          <w:rFonts w:ascii="宋体" w:hAnsi="宋体" w:cs="宋体"/>
          <w:b w:val="0"/>
          <w:bCs/>
          <w:color w:val="auto"/>
          <w:sz w:val="24"/>
          <w:szCs w:val="24"/>
          <w:highlight w:val="none"/>
        </w:rPr>
      </w:pPr>
      <w:bookmarkStart w:id="190" w:name="_Toc20226"/>
      <w:bookmarkStart w:id="191" w:name="_Toc2122"/>
      <w:bookmarkStart w:id="192" w:name="_Toc18002"/>
      <w:bookmarkStart w:id="193" w:name="_Toc32036"/>
      <w:r>
        <w:rPr>
          <w:rFonts w:hint="eastAsia" w:ascii="宋体" w:hAnsi="宋体" w:cs="宋体"/>
          <w:b w:val="0"/>
          <w:bCs/>
          <w:color w:val="auto"/>
          <w:sz w:val="24"/>
          <w:szCs w:val="24"/>
          <w:highlight w:val="none"/>
        </w:rPr>
        <w:t>（七）供应商参与人员</w:t>
      </w:r>
      <w:bookmarkEnd w:id="190"/>
      <w:bookmarkEnd w:id="191"/>
      <w:bookmarkEnd w:id="192"/>
      <w:bookmarkEnd w:id="193"/>
    </w:p>
    <w:p w14:paraId="1EC333F9">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580D2B7F">
      <w:pPr>
        <w:pStyle w:val="5"/>
        <w:spacing w:before="0" w:after="0" w:line="500" w:lineRule="exact"/>
        <w:ind w:firstLine="482" w:firstLineChars="200"/>
        <w:rPr>
          <w:rFonts w:ascii="宋体" w:hAnsi="宋体" w:cs="宋体"/>
          <w:color w:val="auto"/>
          <w:sz w:val="24"/>
          <w:szCs w:val="24"/>
          <w:highlight w:val="none"/>
        </w:rPr>
      </w:pPr>
      <w:bookmarkStart w:id="194" w:name="_Toc29156"/>
      <w:bookmarkStart w:id="195" w:name="_Toc3080"/>
      <w:bookmarkStart w:id="196" w:name="_Toc5462"/>
      <w:bookmarkStart w:id="197" w:name="_Toc24163"/>
      <w:r>
        <w:rPr>
          <w:rFonts w:hint="eastAsia" w:ascii="宋体" w:hAnsi="宋体" w:cs="宋体"/>
          <w:color w:val="auto"/>
          <w:sz w:val="24"/>
          <w:szCs w:val="24"/>
          <w:highlight w:val="none"/>
        </w:rPr>
        <w:t>四、成交供应商的确认和变更</w:t>
      </w:r>
      <w:bookmarkEnd w:id="181"/>
      <w:bookmarkEnd w:id="194"/>
      <w:bookmarkEnd w:id="195"/>
      <w:bookmarkEnd w:id="196"/>
      <w:bookmarkEnd w:id="197"/>
    </w:p>
    <w:p w14:paraId="1C18E3F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17EA769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应当在收到评审报告后5个工作日内，从评审报告提出的成交候选供应商中，按照排序由高到低的原则确定成交供应商，也可以书面授权磋商小组直接确定成交供应商。</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逾期未确定成交供应商且不提出异议的，视为确定评审报告提出的排序第一的供应商为成交供应商。</w:t>
      </w:r>
    </w:p>
    <w:p w14:paraId="18E06C05">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3FE5ED3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可以按照评标报告推荐的成交候选供应商顺序，确定排名下一位的候选人为成交供应商，也可以重新开展政府采购活动。</w:t>
      </w:r>
    </w:p>
    <w:p w14:paraId="1903C519">
      <w:pPr>
        <w:pStyle w:val="5"/>
        <w:spacing w:before="0" w:after="0" w:line="500" w:lineRule="exact"/>
        <w:ind w:firstLine="482" w:firstLineChars="200"/>
        <w:rPr>
          <w:rFonts w:ascii="宋体" w:hAnsi="宋体" w:cs="宋体"/>
          <w:color w:val="auto"/>
          <w:sz w:val="24"/>
          <w:szCs w:val="24"/>
          <w:highlight w:val="none"/>
        </w:rPr>
      </w:pPr>
      <w:bookmarkStart w:id="198" w:name="_Toc342913395"/>
      <w:bookmarkStart w:id="199" w:name="_Toc11705"/>
      <w:bookmarkStart w:id="200" w:name="_Toc19211"/>
      <w:bookmarkStart w:id="201" w:name="_Toc14304"/>
      <w:bookmarkStart w:id="202" w:name="_Toc20130557"/>
      <w:bookmarkStart w:id="203" w:name="_Toc4970"/>
      <w:bookmarkStart w:id="204" w:name="_Toc102227321"/>
      <w:r>
        <w:rPr>
          <w:rFonts w:hint="eastAsia" w:ascii="宋体" w:hAnsi="宋体" w:cs="宋体"/>
          <w:color w:val="auto"/>
          <w:sz w:val="24"/>
          <w:szCs w:val="24"/>
          <w:highlight w:val="none"/>
        </w:rPr>
        <w:t>五、成交通知</w:t>
      </w:r>
      <w:bookmarkEnd w:id="198"/>
      <w:bookmarkEnd w:id="199"/>
      <w:bookmarkEnd w:id="200"/>
      <w:bookmarkEnd w:id="201"/>
      <w:bookmarkEnd w:id="202"/>
      <w:bookmarkEnd w:id="203"/>
      <w:bookmarkEnd w:id="204"/>
    </w:p>
    <w:p w14:paraId="7181C51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或采购代理机构将在“重庆市经济和信息化委员会网”（https://jjxxw.cq.gov.cn/）上发布成交结果公告。</w:t>
      </w:r>
    </w:p>
    <w:p w14:paraId="7E7F5B55">
      <w:pPr>
        <w:spacing w:line="500" w:lineRule="exact"/>
        <w:ind w:firstLine="570"/>
        <w:rPr>
          <w:rFonts w:ascii="宋体" w:hAnsi="宋体" w:cs="宋体"/>
          <w:color w:val="auto"/>
          <w:sz w:val="24"/>
          <w:szCs w:val="24"/>
          <w:highlight w:val="none"/>
        </w:rPr>
      </w:pPr>
      <w:bookmarkStart w:id="205"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3C6EF2FD">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4FFDA3E2">
      <w:pPr>
        <w:pStyle w:val="5"/>
        <w:spacing w:before="0" w:after="0" w:line="500" w:lineRule="exact"/>
        <w:ind w:firstLine="482" w:firstLineChars="200"/>
        <w:rPr>
          <w:rFonts w:ascii="宋体" w:hAnsi="宋体" w:cs="宋体"/>
          <w:color w:val="auto"/>
          <w:sz w:val="24"/>
          <w:szCs w:val="24"/>
          <w:highlight w:val="none"/>
        </w:rPr>
      </w:pPr>
      <w:bookmarkStart w:id="206" w:name="_Toc6683"/>
      <w:bookmarkStart w:id="207" w:name="_Toc9042"/>
      <w:bookmarkStart w:id="208" w:name="_Toc21738"/>
      <w:bookmarkStart w:id="209" w:name="_Toc21379"/>
      <w:r>
        <w:rPr>
          <w:rFonts w:hint="eastAsia" w:ascii="宋体" w:hAnsi="宋体" w:cs="宋体"/>
          <w:color w:val="auto"/>
          <w:sz w:val="24"/>
          <w:szCs w:val="24"/>
          <w:highlight w:val="none"/>
        </w:rPr>
        <w:t>六、关于质疑和投诉</w:t>
      </w:r>
      <w:bookmarkEnd w:id="205"/>
      <w:bookmarkEnd w:id="206"/>
      <w:bookmarkEnd w:id="207"/>
      <w:bookmarkEnd w:id="208"/>
      <w:bookmarkEnd w:id="209"/>
    </w:p>
    <w:p w14:paraId="465E22C3">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56C76144">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或采购代理机构以书面形式提出质疑。</w:t>
      </w:r>
    </w:p>
    <w:p w14:paraId="389580CD">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7693824">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57D3EE30">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、采购代理机构提出质疑。</w:t>
      </w:r>
    </w:p>
    <w:p w14:paraId="1CA6A180">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0C2B17AE">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4A4F517E">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612EC90F">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2815F526">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1DF6C0D4">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7566C8EF">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724DB18E">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7FB785EB">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4C4A6068">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1109FA1F">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5FFA2EE9">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、采购代理机构应当在收到供应商的书面质疑后七个工作日内作出答复，并以书面形式通知质疑供应商和其他有关供应商。</w:t>
      </w:r>
    </w:p>
    <w:p w14:paraId="5293162E">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7457A917">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77ABC4D2">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1A857592">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30D7F52B">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1.供应商对</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、采购代理机构的答复不满意，或者</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、采购代理机构未在规定时间内作出答复的，可以在答复期满后15个工作日内按照相关法律法规向财政部门提起投诉。</w:t>
      </w:r>
    </w:p>
    <w:p w14:paraId="380052AE">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6DB7D88E">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A2C01D8">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64083BC9">
      <w:pPr>
        <w:pStyle w:val="5"/>
        <w:spacing w:before="0" w:after="0" w:line="500" w:lineRule="exact"/>
        <w:ind w:firstLine="482" w:firstLineChars="200"/>
        <w:rPr>
          <w:rFonts w:ascii="宋体" w:hAnsi="宋体" w:cs="宋体"/>
          <w:color w:val="auto"/>
          <w:sz w:val="24"/>
          <w:szCs w:val="24"/>
          <w:highlight w:val="none"/>
        </w:rPr>
      </w:pPr>
      <w:bookmarkStart w:id="210" w:name="_Toc18372"/>
      <w:bookmarkStart w:id="211" w:name="_Toc5241"/>
      <w:bookmarkStart w:id="212" w:name="_Toc22162"/>
      <w:bookmarkStart w:id="213" w:name="_Toc20130559"/>
      <w:bookmarkStart w:id="214" w:name="_Toc10192"/>
      <w:r>
        <w:rPr>
          <w:rFonts w:hint="eastAsia" w:ascii="宋体" w:hAnsi="宋体" w:cs="宋体"/>
          <w:color w:val="auto"/>
          <w:sz w:val="24"/>
          <w:szCs w:val="24"/>
          <w:highlight w:val="none"/>
        </w:rPr>
        <w:t>七、采购代理服务费</w:t>
      </w:r>
      <w:bookmarkEnd w:id="210"/>
      <w:bookmarkEnd w:id="211"/>
      <w:bookmarkEnd w:id="212"/>
      <w:bookmarkEnd w:id="213"/>
      <w:bookmarkEnd w:id="214"/>
    </w:p>
    <w:p w14:paraId="24879B0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16"/>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054D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78" w:type="dxa"/>
            <w:tcBorders>
              <w:tl2br w:val="single" w:color="auto" w:sz="4" w:space="0"/>
            </w:tcBorders>
            <w:noWrap w:val="0"/>
            <w:vAlign w:val="top"/>
          </w:tcPr>
          <w:p w14:paraId="2B6BE64A">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sz w:val="21"/>
                <w:szCs w:val="21"/>
              </w:rPr>
            </w:pPr>
            <w:bookmarkStart w:id="215" w:name="_Toc20130560"/>
            <w:bookmarkStart w:id="216" w:name="_Toc2863475"/>
            <w:r>
              <w:rPr>
                <w:rFonts w:hint="eastAsia" w:ascii="宋体" w:hAnsi="宋体" w:eastAsia="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 w:val="21"/>
                <w:szCs w:val="21"/>
              </w:rPr>
              <w:t>招标类型</w:t>
            </w:r>
          </w:p>
          <w:p w14:paraId="5FE52E72">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中标金额（万元）</w:t>
            </w:r>
          </w:p>
        </w:tc>
        <w:tc>
          <w:tcPr>
            <w:tcW w:w="1866" w:type="dxa"/>
            <w:noWrap w:val="0"/>
            <w:vAlign w:val="center"/>
          </w:tcPr>
          <w:p w14:paraId="3C04258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货物招标</w:t>
            </w:r>
          </w:p>
        </w:tc>
        <w:tc>
          <w:tcPr>
            <w:tcW w:w="1852" w:type="dxa"/>
            <w:noWrap w:val="0"/>
            <w:vAlign w:val="center"/>
          </w:tcPr>
          <w:p w14:paraId="4D929D27">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服务招标</w:t>
            </w:r>
          </w:p>
        </w:tc>
        <w:tc>
          <w:tcPr>
            <w:tcW w:w="1787" w:type="dxa"/>
            <w:noWrap w:val="0"/>
            <w:vAlign w:val="center"/>
          </w:tcPr>
          <w:p w14:paraId="3164067C">
            <w:pPr>
              <w:pStyle w:val="23"/>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kern w:val="2"/>
                <w:sz w:val="21"/>
                <w:szCs w:val="21"/>
              </w:rPr>
            </w:pPr>
            <w:r>
              <w:rPr>
                <w:rFonts w:hint="eastAsia" w:ascii="宋体" w:hAnsi="宋体" w:eastAsia="宋体" w:cs="宋体"/>
                <w:kern w:val="2"/>
                <w:sz w:val="21"/>
                <w:szCs w:val="21"/>
              </w:rPr>
              <w:t>工程招标</w:t>
            </w:r>
          </w:p>
        </w:tc>
      </w:tr>
      <w:tr w14:paraId="634F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20BE2059">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100及以下</w:t>
            </w:r>
          </w:p>
        </w:tc>
        <w:tc>
          <w:tcPr>
            <w:tcW w:w="1866" w:type="dxa"/>
            <w:noWrap w:val="0"/>
            <w:vAlign w:val="center"/>
          </w:tcPr>
          <w:p w14:paraId="433DD708">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852" w:type="dxa"/>
            <w:noWrap w:val="0"/>
            <w:vAlign w:val="center"/>
          </w:tcPr>
          <w:p w14:paraId="2AD26E1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787" w:type="dxa"/>
            <w:noWrap w:val="0"/>
            <w:vAlign w:val="center"/>
          </w:tcPr>
          <w:p w14:paraId="1C2F84F6">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14:paraId="3A37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6CF8DC79">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100-</w:t>
            </w:r>
            <w:r>
              <w:rPr>
                <w:rFonts w:hint="eastAsia" w:ascii="宋体" w:hAnsi="宋体" w:cs="宋体"/>
                <w:sz w:val="21"/>
                <w:szCs w:val="21"/>
                <w:lang w:val="en-US" w:eastAsia="zh-CN"/>
              </w:rPr>
              <w:t>200</w:t>
            </w:r>
          </w:p>
        </w:tc>
        <w:tc>
          <w:tcPr>
            <w:tcW w:w="1866" w:type="dxa"/>
            <w:noWrap w:val="0"/>
            <w:vAlign w:val="center"/>
          </w:tcPr>
          <w:p w14:paraId="0330171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852" w:type="dxa"/>
            <w:noWrap w:val="0"/>
            <w:vAlign w:val="center"/>
          </w:tcPr>
          <w:p w14:paraId="369CCE29">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0.8%</w:t>
            </w:r>
          </w:p>
        </w:tc>
        <w:tc>
          <w:tcPr>
            <w:tcW w:w="1787" w:type="dxa"/>
            <w:noWrap w:val="0"/>
            <w:vAlign w:val="center"/>
          </w:tcPr>
          <w:p w14:paraId="23DF9975">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0.7%</w:t>
            </w:r>
          </w:p>
        </w:tc>
      </w:tr>
      <w:tr w14:paraId="5E8E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32B07757">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200</w:t>
            </w:r>
            <w:r>
              <w:rPr>
                <w:rFonts w:hint="eastAsia" w:ascii="宋体" w:hAnsi="宋体" w:eastAsia="宋体" w:cs="宋体"/>
                <w:sz w:val="21"/>
                <w:szCs w:val="21"/>
              </w:rPr>
              <w:t>-</w:t>
            </w:r>
            <w:r>
              <w:rPr>
                <w:rFonts w:hint="eastAsia" w:ascii="宋体" w:hAnsi="宋体" w:cs="宋体"/>
                <w:sz w:val="21"/>
                <w:szCs w:val="21"/>
                <w:lang w:val="en-US" w:eastAsia="zh-CN"/>
              </w:rPr>
              <w:t>500</w:t>
            </w:r>
          </w:p>
        </w:tc>
        <w:tc>
          <w:tcPr>
            <w:tcW w:w="1866" w:type="dxa"/>
            <w:noWrap w:val="0"/>
            <w:vAlign w:val="center"/>
          </w:tcPr>
          <w:p w14:paraId="6109ACA1">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08%</w:t>
            </w:r>
          </w:p>
        </w:tc>
        <w:tc>
          <w:tcPr>
            <w:tcW w:w="1852" w:type="dxa"/>
            <w:noWrap w:val="0"/>
            <w:vAlign w:val="center"/>
          </w:tcPr>
          <w:p w14:paraId="22CCDF53">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cs="宋体"/>
                <w:sz w:val="21"/>
                <w:szCs w:val="21"/>
                <w:lang w:val="en-US" w:eastAsia="zh-CN"/>
              </w:rPr>
              <w:t>78</w:t>
            </w:r>
            <w:r>
              <w:rPr>
                <w:rFonts w:hint="eastAsia" w:ascii="宋体" w:hAnsi="宋体" w:eastAsia="宋体" w:cs="宋体"/>
                <w:sz w:val="21"/>
                <w:szCs w:val="21"/>
              </w:rPr>
              <w:t>%</w:t>
            </w:r>
          </w:p>
        </w:tc>
        <w:tc>
          <w:tcPr>
            <w:tcW w:w="1787" w:type="dxa"/>
            <w:noWrap w:val="0"/>
            <w:vAlign w:val="center"/>
          </w:tcPr>
          <w:p w14:paraId="22C09935">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cs="宋体"/>
                <w:sz w:val="21"/>
                <w:szCs w:val="21"/>
                <w:lang w:val="en-US" w:eastAsia="zh-CN"/>
              </w:rPr>
              <w:t>69</w:t>
            </w:r>
            <w:r>
              <w:rPr>
                <w:rFonts w:hint="eastAsia" w:ascii="宋体" w:hAnsi="宋体" w:eastAsia="宋体" w:cs="宋体"/>
                <w:sz w:val="21"/>
                <w:szCs w:val="21"/>
              </w:rPr>
              <w:t>%</w:t>
            </w:r>
          </w:p>
        </w:tc>
      </w:tr>
    </w:tbl>
    <w:p w14:paraId="68EBBB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注：采购代理服务收费按差额定率累进法计算。采购代理服务费按上标准计算出不足3500元的，按3500元记取。</w:t>
      </w:r>
    </w:p>
    <w:bookmarkEnd w:id="215"/>
    <w:bookmarkEnd w:id="216"/>
    <w:p w14:paraId="34078057">
      <w:pPr>
        <w:pStyle w:val="5"/>
        <w:spacing w:before="0" w:after="0" w:line="500" w:lineRule="exact"/>
        <w:ind w:firstLine="482" w:firstLineChars="200"/>
        <w:rPr>
          <w:rFonts w:ascii="宋体" w:hAnsi="宋体" w:cs="宋体"/>
          <w:color w:val="auto"/>
          <w:sz w:val="24"/>
          <w:szCs w:val="24"/>
          <w:highlight w:val="none"/>
        </w:rPr>
      </w:pPr>
      <w:bookmarkStart w:id="217" w:name="_Toc102227322"/>
      <w:bookmarkStart w:id="218" w:name="_Toc26483"/>
      <w:bookmarkStart w:id="219" w:name="_Toc30122"/>
      <w:bookmarkStart w:id="220" w:name="_Toc342913396"/>
      <w:bookmarkStart w:id="221" w:name="_Toc31272"/>
      <w:bookmarkStart w:id="222" w:name="_Toc9944"/>
      <w:bookmarkStart w:id="223" w:name="_Toc20130561"/>
      <w:r>
        <w:rPr>
          <w:rFonts w:hint="eastAsia" w:ascii="宋体" w:hAnsi="宋体" w:cs="宋体"/>
          <w:color w:val="auto"/>
          <w:sz w:val="24"/>
          <w:szCs w:val="24"/>
          <w:highlight w:val="none"/>
        </w:rPr>
        <w:t>八、签订</w:t>
      </w:r>
      <w:bookmarkEnd w:id="217"/>
      <w:r>
        <w:rPr>
          <w:rFonts w:hint="eastAsia" w:ascii="宋体" w:hAnsi="宋体" w:cs="宋体"/>
          <w:color w:val="auto"/>
          <w:sz w:val="24"/>
          <w:szCs w:val="24"/>
          <w:highlight w:val="none"/>
        </w:rPr>
        <w:t>合同</w:t>
      </w:r>
      <w:bookmarkEnd w:id="218"/>
      <w:bookmarkEnd w:id="219"/>
      <w:bookmarkEnd w:id="220"/>
      <w:bookmarkEnd w:id="221"/>
      <w:bookmarkEnd w:id="222"/>
      <w:bookmarkEnd w:id="223"/>
    </w:p>
    <w:p w14:paraId="4C93C9D8">
      <w:pPr>
        <w:spacing w:line="360" w:lineRule="auto"/>
        <w:ind w:firstLine="480" w:firstLineChars="200"/>
        <w:rPr>
          <w:rFonts w:ascii="宋体" w:hAnsi="宋体" w:cs="宋体"/>
          <w:color w:val="auto"/>
          <w:sz w:val="24"/>
          <w:highlight w:val="none"/>
        </w:rPr>
      </w:pPr>
      <w:bookmarkStart w:id="224" w:name="_Toc457894815"/>
      <w:bookmarkStart w:id="225" w:name="_Toc455758689"/>
      <w:bookmarkStart w:id="226" w:name="_Toc20130562"/>
      <w:bookmarkStart w:id="227" w:name="_Toc2863477"/>
      <w:r>
        <w:rPr>
          <w:rFonts w:hint="eastAsia" w:ascii="宋体" w:hAnsi="宋体" w:cs="宋体"/>
          <w:color w:val="auto"/>
          <w:sz w:val="24"/>
          <w:highlight w:val="none"/>
        </w:rPr>
        <w:t>（一）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原则上应在成交通知书发出之日起二十日内和成交供应商签订合同，无正当理由不得拒绝或拖延合同签订。所签订的合同不得对竞争性磋商文件和供应商的响应文件作实质性修改。其他未尽事宜由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和成交供应商在采购合同中详细约定。</w:t>
      </w:r>
    </w:p>
    <w:p w14:paraId="285B1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14:paraId="730A6B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将按照相关法律法规处理。</w:t>
      </w:r>
    </w:p>
    <w:p w14:paraId="2D515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14:paraId="735D3B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（五）除不可抗力等因素外，成交通知书发出后，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改变成交结果，或者成交供应商拒绝签订政府采购合同的，应当承担相应的法律责任。</w:t>
      </w:r>
    </w:p>
    <w:bookmarkEnd w:id="224"/>
    <w:bookmarkEnd w:id="225"/>
    <w:bookmarkEnd w:id="226"/>
    <w:bookmarkEnd w:id="227"/>
    <w:p w14:paraId="626E6A51">
      <w:pPr>
        <w:pStyle w:val="4"/>
        <w:pageBreakBefore/>
        <w:spacing w:line="360" w:lineRule="auto"/>
        <w:jc w:val="center"/>
        <w:rPr>
          <w:rFonts w:ascii="宋体" w:hAnsi="宋体" w:eastAsia="宋体" w:cs="宋体"/>
          <w:b w:val="0"/>
          <w:color w:val="auto"/>
          <w:sz w:val="36"/>
          <w:szCs w:val="30"/>
          <w:highlight w:val="none"/>
        </w:rPr>
      </w:pPr>
      <w:bookmarkStart w:id="228" w:name="_Toc25284"/>
      <w:bookmarkStart w:id="229" w:name="_Toc11862"/>
      <w:bookmarkStart w:id="230" w:name="_Toc20130563"/>
      <w:bookmarkStart w:id="231" w:name="_Toc24861"/>
      <w:bookmarkStart w:id="232" w:name="_Toc27464"/>
      <w:r>
        <w:rPr>
          <w:rFonts w:hint="eastAsia" w:ascii="宋体" w:hAnsi="宋体" w:eastAsia="宋体" w:cs="宋体"/>
          <w:b w:val="0"/>
          <w:color w:val="auto"/>
          <w:sz w:val="36"/>
          <w:szCs w:val="30"/>
          <w:highlight w:val="none"/>
        </w:rPr>
        <w:t>第六篇  合同草案条款</w:t>
      </w:r>
      <w:bookmarkEnd w:id="228"/>
      <w:bookmarkEnd w:id="229"/>
      <w:bookmarkEnd w:id="230"/>
      <w:bookmarkEnd w:id="231"/>
      <w:bookmarkEnd w:id="232"/>
    </w:p>
    <w:p w14:paraId="3F122BE2">
      <w:pPr>
        <w:pStyle w:val="5"/>
        <w:spacing w:before="0" w:after="0" w:line="360" w:lineRule="auto"/>
        <w:ind w:firstLine="482" w:firstLineChars="200"/>
        <w:rPr>
          <w:rFonts w:ascii="宋体" w:hAnsi="宋体" w:cs="宋体"/>
          <w:sz w:val="24"/>
          <w:szCs w:val="24"/>
        </w:rPr>
      </w:pPr>
      <w:bookmarkStart w:id="233" w:name="_Toc15310"/>
      <w:bookmarkStart w:id="234" w:name="_Toc12964"/>
      <w:bookmarkStart w:id="235" w:name="_Toc285722712"/>
      <w:bookmarkStart w:id="236" w:name="_Toc28696"/>
      <w:bookmarkStart w:id="237" w:name="_Toc16324"/>
      <w:bookmarkStart w:id="238" w:name="_Toc13482"/>
      <w:bookmarkStart w:id="239" w:name="_Toc12798"/>
      <w:bookmarkStart w:id="240" w:name="_Toc8002"/>
      <w:bookmarkStart w:id="241" w:name="_Toc78194465"/>
      <w:bookmarkStart w:id="242" w:name="_Toc23356"/>
      <w:bookmarkStart w:id="243" w:name="_Toc277084870"/>
      <w:bookmarkStart w:id="244" w:name="_Toc508007737"/>
      <w:r>
        <w:rPr>
          <w:rFonts w:hint="eastAsia" w:ascii="宋体" w:hAnsi="宋体" w:cs="宋体"/>
          <w:sz w:val="24"/>
          <w:szCs w:val="24"/>
        </w:rPr>
        <w:t>一、合同主要条款</w:t>
      </w:r>
      <w:bookmarkEnd w:id="233"/>
      <w:bookmarkEnd w:id="234"/>
      <w:bookmarkEnd w:id="235"/>
      <w:bookmarkEnd w:id="236"/>
      <w:bookmarkEnd w:id="237"/>
      <w:bookmarkEnd w:id="238"/>
      <w:bookmarkEnd w:id="239"/>
      <w:bookmarkEnd w:id="240"/>
      <w:bookmarkEnd w:id="241"/>
      <w:bookmarkEnd w:id="242"/>
      <w:bookmarkEnd w:id="243"/>
      <w:bookmarkEnd w:id="244"/>
    </w:p>
    <w:p w14:paraId="0351715C">
      <w:pPr>
        <w:snapToGrid w:val="0"/>
        <w:spacing w:line="360" w:lineRule="auto"/>
        <w:ind w:firstLine="480" w:firstLineChars="200"/>
        <w:outlineLvl w:val="0"/>
        <w:rPr>
          <w:rFonts w:ascii="宋体" w:hAnsi="宋体" w:cs="宋体"/>
          <w:bCs/>
          <w:sz w:val="24"/>
        </w:rPr>
      </w:pPr>
      <w:r>
        <w:rPr>
          <w:rFonts w:hint="eastAsia" w:ascii="宋体" w:hAnsi="宋体" w:cs="宋体"/>
          <w:bCs/>
          <w:sz w:val="24"/>
        </w:rPr>
        <w:t>（一）定义</w:t>
      </w:r>
    </w:p>
    <w:p w14:paraId="57F783DD">
      <w:pPr>
        <w:snapToGrid w:val="0"/>
        <w:spacing w:line="360" w:lineRule="auto"/>
        <w:ind w:firstLine="480" w:firstLineChars="200"/>
        <w:outlineLvl w:val="0"/>
        <w:rPr>
          <w:rFonts w:ascii="宋体" w:hAnsi="宋体" w:cs="宋体"/>
          <w:bCs/>
          <w:sz w:val="24"/>
        </w:rPr>
      </w:pPr>
      <w:r>
        <w:rPr>
          <w:rFonts w:hint="eastAsia" w:ascii="宋体" w:hAnsi="宋体" w:cs="宋体"/>
          <w:bCs/>
          <w:sz w:val="24"/>
        </w:rPr>
        <w:t>1.甲方（需方）即</w:t>
      </w:r>
      <w:r>
        <w:rPr>
          <w:rFonts w:hint="eastAsia" w:ascii="宋体" w:hAnsi="宋体" w:cs="宋体"/>
          <w:bCs/>
          <w:sz w:val="24"/>
          <w:lang w:eastAsia="zh-CN"/>
        </w:rPr>
        <w:t>采购人</w:t>
      </w:r>
      <w:r>
        <w:rPr>
          <w:rFonts w:hint="eastAsia" w:ascii="宋体" w:hAnsi="宋体" w:cs="宋体"/>
          <w:bCs/>
          <w:sz w:val="24"/>
        </w:rPr>
        <w:t>，是指通过招标采购，接受服务的各级国家机关、事业单位和团体组织。</w:t>
      </w:r>
    </w:p>
    <w:p w14:paraId="1C78EF43">
      <w:pPr>
        <w:snapToGrid w:val="0"/>
        <w:spacing w:line="360" w:lineRule="auto"/>
        <w:ind w:firstLine="480" w:firstLineChars="200"/>
        <w:outlineLvl w:val="0"/>
        <w:rPr>
          <w:rFonts w:ascii="宋体" w:hAnsi="宋体" w:cs="宋体"/>
          <w:bCs/>
          <w:sz w:val="24"/>
        </w:rPr>
      </w:pPr>
      <w:r>
        <w:rPr>
          <w:rFonts w:hint="eastAsia" w:ascii="宋体" w:hAnsi="宋体" w:cs="宋体"/>
          <w:bCs/>
          <w:sz w:val="24"/>
        </w:rPr>
        <w:t>2.乙方（供方）即成交供应商，是指中标后提供服务的自然人、法人及其他组织。</w:t>
      </w:r>
    </w:p>
    <w:p w14:paraId="4283EC2C">
      <w:pPr>
        <w:snapToGrid w:val="0"/>
        <w:spacing w:line="360" w:lineRule="auto"/>
        <w:ind w:firstLine="480" w:firstLineChars="200"/>
        <w:outlineLvl w:val="0"/>
        <w:rPr>
          <w:rFonts w:ascii="宋体" w:hAnsi="宋体" w:cs="宋体"/>
          <w:bCs/>
          <w:sz w:val="24"/>
        </w:rPr>
      </w:pPr>
      <w:r>
        <w:rPr>
          <w:rFonts w:hint="eastAsia" w:ascii="宋体" w:hAnsi="宋体" w:cs="宋体"/>
          <w:bCs/>
          <w:sz w:val="24"/>
        </w:rPr>
        <w:t>3.合同是指由甲乙双方按照采购文件和响应文件的实质性内容，通过协商一致达成的书面协议。</w:t>
      </w:r>
    </w:p>
    <w:p w14:paraId="58E14655">
      <w:pPr>
        <w:snapToGrid w:val="0"/>
        <w:spacing w:line="360" w:lineRule="auto"/>
        <w:ind w:firstLine="480" w:firstLineChars="200"/>
        <w:outlineLvl w:val="0"/>
        <w:rPr>
          <w:rFonts w:ascii="宋体" w:hAnsi="宋体" w:cs="宋体"/>
          <w:bCs/>
          <w:sz w:val="24"/>
        </w:rPr>
      </w:pPr>
      <w:r>
        <w:rPr>
          <w:rFonts w:hint="eastAsia" w:ascii="宋体" w:hAnsi="宋体" w:cs="宋体"/>
          <w:bCs/>
          <w:sz w:val="24"/>
        </w:rPr>
        <w:t>4.合同价格指以中标价格为依据，在供方全面履行合同义务后，需方应支付给供方的金额。</w:t>
      </w:r>
    </w:p>
    <w:p w14:paraId="722D29E4">
      <w:pPr>
        <w:snapToGrid w:val="0"/>
        <w:spacing w:line="360" w:lineRule="auto"/>
        <w:ind w:firstLine="480" w:firstLineChars="200"/>
        <w:outlineLvl w:val="0"/>
        <w:rPr>
          <w:rFonts w:ascii="宋体" w:hAnsi="宋体" w:cs="宋体"/>
          <w:bCs/>
          <w:sz w:val="24"/>
        </w:rPr>
      </w:pPr>
      <w:r>
        <w:rPr>
          <w:rFonts w:hint="eastAsia" w:ascii="宋体" w:hAnsi="宋体" w:cs="宋体"/>
          <w:bCs/>
          <w:sz w:val="24"/>
        </w:rPr>
        <w:t>（二）服务内容</w:t>
      </w:r>
    </w:p>
    <w:p w14:paraId="3B8B7CDF">
      <w:pPr>
        <w:snapToGrid w:val="0"/>
        <w:spacing w:line="360" w:lineRule="auto"/>
        <w:ind w:firstLine="480" w:firstLineChars="200"/>
        <w:outlineLvl w:val="0"/>
        <w:rPr>
          <w:rFonts w:ascii="宋体" w:hAnsi="宋体" w:cs="宋体"/>
          <w:bCs/>
          <w:sz w:val="24"/>
        </w:rPr>
      </w:pPr>
      <w:r>
        <w:rPr>
          <w:rFonts w:hint="eastAsia" w:ascii="宋体" w:hAnsi="宋体" w:cs="宋体"/>
          <w:bCs/>
          <w:sz w:val="24"/>
        </w:rPr>
        <w:t xml:space="preserve">合同包括以下服务内容： </w:t>
      </w:r>
    </w:p>
    <w:p w14:paraId="4BABD13C">
      <w:pPr>
        <w:snapToGrid w:val="0"/>
        <w:spacing w:line="360" w:lineRule="auto"/>
        <w:ind w:firstLine="480" w:firstLineChars="200"/>
        <w:outlineLvl w:val="0"/>
        <w:rPr>
          <w:rFonts w:ascii="宋体" w:hAnsi="宋体" w:cs="宋体"/>
          <w:bCs/>
          <w:sz w:val="24"/>
        </w:rPr>
      </w:pPr>
      <w:r>
        <w:rPr>
          <w:rFonts w:hint="eastAsia" w:ascii="宋体" w:hAnsi="宋体" w:cs="宋体"/>
          <w:bCs/>
          <w:sz w:val="24"/>
        </w:rPr>
        <w:t>（三）合同价格</w:t>
      </w:r>
    </w:p>
    <w:p w14:paraId="7BA064C1">
      <w:pPr>
        <w:snapToGrid w:val="0"/>
        <w:spacing w:line="360" w:lineRule="auto"/>
        <w:ind w:firstLine="480" w:firstLineChars="200"/>
        <w:outlineLvl w:val="0"/>
        <w:rPr>
          <w:rFonts w:ascii="宋体" w:hAnsi="宋体" w:cs="宋体"/>
          <w:bCs/>
          <w:sz w:val="24"/>
        </w:rPr>
      </w:pPr>
      <w:r>
        <w:rPr>
          <w:rFonts w:hint="eastAsia" w:ascii="宋体" w:hAnsi="宋体" w:cs="宋体"/>
          <w:bCs/>
          <w:sz w:val="24"/>
        </w:rPr>
        <w:t>1.合同价格即合同总价。</w:t>
      </w:r>
    </w:p>
    <w:p w14:paraId="5C7C2B08">
      <w:pPr>
        <w:snapToGrid w:val="0"/>
        <w:spacing w:line="360" w:lineRule="auto"/>
        <w:ind w:firstLine="480" w:firstLineChars="200"/>
        <w:outlineLvl w:val="0"/>
        <w:rPr>
          <w:rFonts w:ascii="宋体" w:hAnsi="宋体" w:cs="宋体"/>
          <w:bCs/>
          <w:sz w:val="24"/>
        </w:rPr>
      </w:pPr>
      <w:r>
        <w:rPr>
          <w:rFonts w:hint="eastAsia" w:ascii="宋体" w:hAnsi="宋体" w:cs="宋体"/>
          <w:bCs/>
          <w:sz w:val="24"/>
        </w:rPr>
        <w:t>2.合同价格</w:t>
      </w:r>
      <w:r>
        <w:rPr>
          <w:rFonts w:hint="eastAsia" w:ascii="宋体" w:hAnsi="宋体" w:cs="宋体"/>
          <w:sz w:val="24"/>
          <w:szCs w:val="24"/>
        </w:rPr>
        <w:t>包括（但不限于）施工费、材料费、运输费（含装卸费）、安装费、调试费、人工费、保险费、税费等所有费用。因乙方供应商自身原因造成漏报、少报皆由其自行承担责任，甲方不再补偿。</w:t>
      </w:r>
    </w:p>
    <w:p w14:paraId="7CA45268">
      <w:pPr>
        <w:snapToGrid w:val="0"/>
        <w:spacing w:line="360" w:lineRule="auto"/>
        <w:ind w:firstLine="480" w:firstLineChars="200"/>
        <w:outlineLvl w:val="0"/>
        <w:rPr>
          <w:rFonts w:ascii="宋体" w:hAnsi="宋体" w:cs="宋体"/>
          <w:bCs/>
          <w:sz w:val="24"/>
        </w:rPr>
      </w:pPr>
      <w:r>
        <w:rPr>
          <w:rFonts w:hint="eastAsia" w:ascii="宋体" w:hAnsi="宋体" w:cs="宋体"/>
          <w:bCs/>
          <w:sz w:val="24"/>
        </w:rPr>
        <w:t>3.合同价为不变价。</w:t>
      </w:r>
    </w:p>
    <w:p w14:paraId="30412F05">
      <w:pPr>
        <w:snapToGrid w:val="0"/>
        <w:spacing w:line="360" w:lineRule="auto"/>
        <w:ind w:firstLine="480" w:firstLineChars="200"/>
        <w:outlineLvl w:val="0"/>
        <w:rPr>
          <w:rFonts w:ascii="宋体" w:hAnsi="宋体" w:cs="宋体"/>
          <w:bCs/>
          <w:sz w:val="24"/>
        </w:rPr>
      </w:pPr>
      <w:r>
        <w:rPr>
          <w:rFonts w:hint="eastAsia" w:ascii="宋体" w:hAnsi="宋体" w:cs="宋体"/>
          <w:bCs/>
          <w:sz w:val="24"/>
        </w:rPr>
        <w:t>（四）转包和分包</w:t>
      </w:r>
    </w:p>
    <w:p w14:paraId="309EB754">
      <w:pPr>
        <w:snapToGrid w:val="0"/>
        <w:spacing w:line="360" w:lineRule="auto"/>
        <w:ind w:firstLine="480" w:firstLineChars="200"/>
        <w:outlineLvl w:val="0"/>
        <w:rPr>
          <w:rFonts w:ascii="宋体" w:hAnsi="宋体" w:cs="宋体"/>
          <w:bCs/>
          <w:sz w:val="24"/>
        </w:rPr>
      </w:pPr>
      <w:r>
        <w:rPr>
          <w:rFonts w:hint="eastAsia" w:ascii="宋体" w:hAnsi="宋体" w:cs="宋体"/>
          <w:bCs/>
          <w:sz w:val="24"/>
        </w:rPr>
        <w:t>1.本合同范围的所有服务工作，应由乙方直接提供，不得转让他人提供。</w:t>
      </w:r>
    </w:p>
    <w:p w14:paraId="4F6E6842">
      <w:pPr>
        <w:snapToGrid w:val="0"/>
        <w:spacing w:line="360" w:lineRule="auto"/>
        <w:ind w:firstLine="480" w:firstLineChars="200"/>
        <w:outlineLvl w:val="0"/>
        <w:rPr>
          <w:rFonts w:ascii="宋体" w:hAnsi="宋体" w:cs="宋体"/>
          <w:bCs/>
          <w:sz w:val="24"/>
        </w:rPr>
      </w:pPr>
      <w:r>
        <w:rPr>
          <w:rFonts w:hint="eastAsia" w:ascii="宋体" w:hAnsi="宋体" w:cs="宋体"/>
          <w:bCs/>
          <w:sz w:val="24"/>
        </w:rPr>
        <w:t>2.非经甲方书面同意，乙方不得将本合同范围的服务工作全部或部分转包给他人提供。</w:t>
      </w:r>
    </w:p>
    <w:p w14:paraId="2FF54E21">
      <w:pPr>
        <w:snapToGrid w:val="0"/>
        <w:spacing w:line="360" w:lineRule="auto"/>
        <w:ind w:firstLine="480" w:firstLineChars="200"/>
        <w:outlineLvl w:val="0"/>
        <w:rPr>
          <w:rFonts w:ascii="宋体" w:hAnsi="宋体" w:cs="宋体"/>
          <w:bCs/>
          <w:sz w:val="24"/>
        </w:rPr>
      </w:pPr>
      <w:r>
        <w:rPr>
          <w:rFonts w:hint="eastAsia" w:ascii="宋体" w:hAnsi="宋体" w:cs="宋体"/>
          <w:bCs/>
          <w:sz w:val="24"/>
        </w:rPr>
        <w:t>3.如有转包和未经甲方同意的分包行为，甲方有权解除合同，没收履约保证金并追究乙方的违约责任。</w:t>
      </w:r>
    </w:p>
    <w:p w14:paraId="49537C0F">
      <w:pPr>
        <w:adjustRightInd w:val="0"/>
        <w:snapToGrid w:val="0"/>
        <w:spacing w:line="360" w:lineRule="auto"/>
        <w:ind w:firstLine="480" w:firstLineChars="200"/>
        <w:rPr>
          <w:rFonts w:ascii="宋体" w:hAnsi="宋体" w:cs="宋体"/>
          <w:sz w:val="24"/>
        </w:rPr>
      </w:pPr>
      <w:r>
        <w:rPr>
          <w:rFonts w:hint="eastAsia" w:ascii="宋体" w:hAnsi="宋体" w:cs="宋体"/>
          <w:bCs/>
          <w:sz w:val="24"/>
        </w:rPr>
        <w:t>（五）质量保证及售后服务</w:t>
      </w:r>
    </w:p>
    <w:p w14:paraId="3E14B622">
      <w:pPr>
        <w:adjustRightInd w:val="0"/>
        <w:snapToGrid w:val="0"/>
        <w:spacing w:line="360" w:lineRule="auto"/>
        <w:ind w:firstLine="480" w:firstLineChars="200"/>
        <w:rPr>
          <w:rFonts w:ascii="宋体" w:hAnsi="宋体" w:cs="宋体"/>
          <w:sz w:val="24"/>
        </w:rPr>
      </w:pPr>
      <w:r>
        <w:rPr>
          <w:rFonts w:hint="eastAsia" w:ascii="宋体" w:hAnsi="宋体" w:cs="宋体"/>
          <w:sz w:val="24"/>
        </w:rPr>
        <w:t>1.乙方应按采购文件规定要求向甲方提供服务。</w:t>
      </w:r>
    </w:p>
    <w:p w14:paraId="6C03F729">
      <w:pPr>
        <w:adjustRightInd w:val="0"/>
        <w:snapToGrid w:val="0"/>
        <w:spacing w:line="360" w:lineRule="auto"/>
        <w:ind w:firstLine="480" w:firstLineChars="200"/>
        <w:rPr>
          <w:rFonts w:ascii="宋体" w:hAnsi="宋体" w:cs="宋体"/>
          <w:sz w:val="24"/>
        </w:rPr>
      </w:pPr>
      <w:r>
        <w:rPr>
          <w:rFonts w:hint="eastAsia" w:ascii="宋体" w:hAnsi="宋体" w:cs="宋体"/>
          <w:sz w:val="24"/>
        </w:rPr>
        <w:t>2.在服务期内，乙方应对服务质量负责。</w:t>
      </w:r>
    </w:p>
    <w:p w14:paraId="3DE1D6A9">
      <w:pPr>
        <w:adjustRightInd w:val="0"/>
        <w:snapToGrid w:val="0"/>
        <w:spacing w:line="360" w:lineRule="auto"/>
        <w:ind w:firstLine="480" w:firstLineChars="200"/>
        <w:rPr>
          <w:rFonts w:ascii="宋体" w:hAnsi="宋体" w:cs="宋体"/>
          <w:sz w:val="24"/>
        </w:rPr>
      </w:pPr>
      <w:r>
        <w:rPr>
          <w:rFonts w:hint="eastAsia" w:ascii="宋体" w:hAnsi="宋体" w:cs="宋体"/>
          <w:sz w:val="24"/>
        </w:rPr>
        <w:t>3.如甲方要求乙方提供履约保证金的，履约保证金的收取和退还应按本项目采购文件第三篇“项目商务要求”的要求处理。</w:t>
      </w:r>
    </w:p>
    <w:p w14:paraId="4D0A09DC">
      <w:pPr>
        <w:adjustRightInd w:val="0"/>
        <w:snapToGrid w:val="0"/>
        <w:spacing w:line="360" w:lineRule="auto"/>
        <w:ind w:firstLine="480" w:firstLineChars="200"/>
        <w:rPr>
          <w:rFonts w:ascii="宋体" w:hAnsi="宋体" w:cs="宋体"/>
          <w:sz w:val="24"/>
        </w:rPr>
      </w:pPr>
      <w:r>
        <w:rPr>
          <w:rFonts w:hint="eastAsia" w:ascii="宋体" w:hAnsi="宋体" w:cs="宋体"/>
          <w:sz w:val="24"/>
        </w:rPr>
        <w:t>（六）付款</w:t>
      </w:r>
    </w:p>
    <w:p w14:paraId="126B7AE7">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1.本合同使用货币币制如未作特别说明均为人民币。</w:t>
      </w:r>
    </w:p>
    <w:p w14:paraId="0FB4A33F">
      <w:pPr>
        <w:adjustRightInd w:val="0"/>
        <w:snapToGrid w:val="0"/>
        <w:spacing w:line="360" w:lineRule="auto"/>
        <w:ind w:firstLine="480" w:firstLineChars="200"/>
        <w:rPr>
          <w:rFonts w:ascii="宋体" w:hAnsi="宋体" w:cs="宋体"/>
          <w:sz w:val="24"/>
        </w:rPr>
      </w:pPr>
      <w:r>
        <w:rPr>
          <w:rFonts w:hint="eastAsia" w:ascii="宋体" w:hAnsi="宋体" w:cs="宋体"/>
          <w:sz w:val="24"/>
        </w:rPr>
        <w:t>2.付款方式：银行转账、现金支票。</w:t>
      </w:r>
    </w:p>
    <w:p w14:paraId="68847DE6">
      <w:pPr>
        <w:adjustRightInd w:val="0"/>
        <w:snapToGrid w:val="0"/>
        <w:spacing w:line="360" w:lineRule="auto"/>
        <w:ind w:firstLine="480" w:firstLineChars="200"/>
        <w:rPr>
          <w:rFonts w:ascii="宋体" w:hAnsi="宋体" w:cs="宋体"/>
          <w:sz w:val="24"/>
        </w:rPr>
      </w:pPr>
      <w:r>
        <w:rPr>
          <w:rFonts w:hint="eastAsia" w:ascii="宋体" w:hAnsi="宋体" w:cs="宋体"/>
          <w:sz w:val="24"/>
        </w:rPr>
        <w:t>3.付款方法：参照本项目采购文件第三篇“项目商务要求”中关于付款方式的约定。</w:t>
      </w:r>
    </w:p>
    <w:p w14:paraId="148EFD10">
      <w:pPr>
        <w:adjustRightInd w:val="0"/>
        <w:snapToGrid w:val="0"/>
        <w:spacing w:line="360" w:lineRule="auto"/>
        <w:ind w:firstLine="480" w:firstLineChars="200"/>
        <w:rPr>
          <w:rFonts w:ascii="宋体" w:hAnsi="宋体" w:cs="宋体"/>
          <w:sz w:val="24"/>
        </w:rPr>
      </w:pPr>
      <w:r>
        <w:rPr>
          <w:rFonts w:hint="eastAsia" w:ascii="宋体" w:hAnsi="宋体" w:cs="宋体"/>
          <w:sz w:val="24"/>
        </w:rPr>
        <w:t>（七）检查验收</w:t>
      </w:r>
    </w:p>
    <w:p w14:paraId="47141A18">
      <w:pPr>
        <w:adjustRightInd w:val="0"/>
        <w:snapToGrid w:val="0"/>
        <w:spacing w:line="360" w:lineRule="auto"/>
        <w:ind w:firstLine="480" w:firstLineChars="200"/>
        <w:rPr>
          <w:rFonts w:ascii="宋体" w:hAnsi="宋体" w:cs="宋体"/>
          <w:sz w:val="24"/>
        </w:rPr>
      </w:pPr>
      <w:r>
        <w:rPr>
          <w:rFonts w:hint="eastAsia" w:ascii="宋体" w:hAnsi="宋体" w:cs="宋体"/>
          <w:sz w:val="24"/>
        </w:rPr>
        <w:t>（八）索赔</w:t>
      </w:r>
    </w:p>
    <w:p w14:paraId="5D6B6601">
      <w:pPr>
        <w:adjustRightInd w:val="0"/>
        <w:snapToGrid w:val="0"/>
        <w:spacing w:line="360" w:lineRule="auto"/>
        <w:ind w:firstLine="480" w:firstLineChars="200"/>
        <w:rPr>
          <w:rFonts w:ascii="宋体" w:hAnsi="宋体" w:cs="宋体"/>
          <w:sz w:val="24"/>
        </w:rPr>
      </w:pPr>
      <w:r>
        <w:rPr>
          <w:rFonts w:hint="eastAsia" w:ascii="宋体" w:hAnsi="宋体" w:cs="宋体"/>
          <w:sz w:val="24"/>
        </w:rPr>
        <w:t>供方对服务与合同要求不符负有责任，并且需方已于规定服务内和质量保证期内提出索赔，供方应按需方同意的下述一种或多种方法解决索赔事宜。</w:t>
      </w:r>
    </w:p>
    <w:p w14:paraId="534B0E52">
      <w:pPr>
        <w:adjustRightInd w:val="0"/>
        <w:snapToGrid w:val="0"/>
        <w:spacing w:line="360" w:lineRule="auto"/>
        <w:ind w:firstLine="480" w:firstLineChars="200"/>
        <w:rPr>
          <w:rFonts w:ascii="宋体" w:hAnsi="宋体" w:cs="宋体"/>
          <w:sz w:val="24"/>
        </w:rPr>
      </w:pPr>
      <w:r>
        <w:rPr>
          <w:rFonts w:hint="eastAsia" w:ascii="宋体" w:hAnsi="宋体" w:cs="宋体"/>
          <w:sz w:val="24"/>
        </w:rPr>
        <w:t>（九）知识产权</w:t>
      </w:r>
    </w:p>
    <w:p w14:paraId="560A9A83">
      <w:pPr>
        <w:adjustRightInd w:val="0"/>
        <w:snapToGrid w:val="0"/>
        <w:spacing w:line="360" w:lineRule="auto"/>
        <w:ind w:firstLine="480" w:firstLineChars="200"/>
        <w:rPr>
          <w:rFonts w:ascii="宋体" w:hAnsi="宋体" w:cs="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8733B06">
      <w:pPr>
        <w:snapToGrid w:val="0"/>
        <w:spacing w:line="360" w:lineRule="auto"/>
        <w:ind w:firstLine="480" w:firstLineChars="200"/>
        <w:outlineLvl w:val="0"/>
        <w:rPr>
          <w:rFonts w:ascii="宋体" w:hAnsi="宋体" w:cs="宋体"/>
          <w:bCs/>
          <w:sz w:val="24"/>
        </w:rPr>
      </w:pPr>
      <w:r>
        <w:rPr>
          <w:rFonts w:hint="eastAsia" w:ascii="宋体" w:hAnsi="宋体" w:cs="宋体"/>
          <w:bCs/>
          <w:sz w:val="24"/>
        </w:rPr>
        <w:t>（十）合同争议的解决</w:t>
      </w:r>
    </w:p>
    <w:p w14:paraId="3132ACB5">
      <w:pPr>
        <w:snapToGrid w:val="0"/>
        <w:spacing w:line="360" w:lineRule="auto"/>
        <w:ind w:firstLine="480" w:firstLineChars="200"/>
        <w:outlineLvl w:val="0"/>
        <w:rPr>
          <w:rFonts w:ascii="宋体" w:hAnsi="宋体" w:cs="宋体"/>
          <w:bCs/>
          <w:sz w:val="24"/>
        </w:rPr>
      </w:pPr>
      <w:r>
        <w:rPr>
          <w:rFonts w:hint="eastAsia" w:ascii="宋体" w:hAnsi="宋体" w:cs="宋体"/>
          <w:bCs/>
          <w:sz w:val="24"/>
        </w:rPr>
        <w:t>1.当事人友好协商达成一致；</w:t>
      </w:r>
    </w:p>
    <w:p w14:paraId="50A60BC2">
      <w:pPr>
        <w:snapToGrid w:val="0"/>
        <w:spacing w:line="360" w:lineRule="auto"/>
        <w:ind w:firstLine="480" w:firstLineChars="200"/>
        <w:outlineLvl w:val="0"/>
        <w:rPr>
          <w:rFonts w:ascii="宋体" w:hAnsi="宋体" w:cs="宋体"/>
          <w:bCs/>
          <w:sz w:val="24"/>
        </w:rPr>
      </w:pPr>
      <w:r>
        <w:rPr>
          <w:rFonts w:hint="eastAsia" w:ascii="宋体" w:hAnsi="宋体" w:cs="宋体"/>
          <w:bCs/>
          <w:sz w:val="24"/>
        </w:rPr>
        <w:t>2.在60天内当事人协商不能达成协议的，可提请</w:t>
      </w:r>
      <w:r>
        <w:rPr>
          <w:rFonts w:hint="eastAsia" w:ascii="宋体" w:hAnsi="宋体" w:cs="宋体"/>
          <w:bCs/>
          <w:sz w:val="24"/>
          <w:lang w:eastAsia="zh-CN"/>
        </w:rPr>
        <w:t>采购人</w:t>
      </w:r>
      <w:r>
        <w:rPr>
          <w:rFonts w:hint="eastAsia" w:ascii="宋体" w:hAnsi="宋体" w:cs="宋体"/>
          <w:bCs/>
          <w:sz w:val="24"/>
        </w:rPr>
        <w:t>当地仲裁机构仲裁。</w:t>
      </w:r>
    </w:p>
    <w:p w14:paraId="3110CBD2">
      <w:pPr>
        <w:snapToGrid w:val="0"/>
        <w:spacing w:line="360" w:lineRule="auto"/>
        <w:ind w:firstLine="480" w:firstLineChars="200"/>
        <w:outlineLvl w:val="0"/>
        <w:rPr>
          <w:rFonts w:ascii="宋体" w:hAnsi="宋体" w:cs="宋体"/>
          <w:bCs/>
          <w:sz w:val="24"/>
        </w:rPr>
      </w:pPr>
      <w:r>
        <w:rPr>
          <w:rFonts w:hint="eastAsia" w:ascii="宋体" w:hAnsi="宋体" w:cs="宋体"/>
          <w:bCs/>
          <w:sz w:val="24"/>
        </w:rPr>
        <w:t>（十一）违约责任</w:t>
      </w:r>
    </w:p>
    <w:p w14:paraId="5F81D747">
      <w:pPr>
        <w:snapToGrid w:val="0"/>
        <w:spacing w:line="360" w:lineRule="auto"/>
        <w:ind w:firstLine="480" w:firstLineChars="200"/>
        <w:outlineLvl w:val="0"/>
        <w:rPr>
          <w:rFonts w:ascii="宋体" w:hAnsi="宋体" w:cs="宋体"/>
          <w:bCs/>
          <w:sz w:val="24"/>
        </w:rPr>
      </w:pPr>
      <w:r>
        <w:rPr>
          <w:rFonts w:hint="eastAsia" w:ascii="宋体" w:hAnsi="宋体" w:cs="宋体"/>
          <w:bCs/>
          <w:sz w:val="24"/>
        </w:rPr>
        <w:t>按《中华人民共和国民法典》、《中华人民共和国政府采购法》有关条款，或由供需双方约定。</w:t>
      </w:r>
    </w:p>
    <w:p w14:paraId="6C9E6A03">
      <w:pPr>
        <w:snapToGrid w:val="0"/>
        <w:spacing w:line="360" w:lineRule="auto"/>
        <w:ind w:firstLine="480" w:firstLineChars="200"/>
        <w:outlineLvl w:val="0"/>
        <w:rPr>
          <w:rFonts w:ascii="宋体" w:hAnsi="宋体" w:cs="宋体"/>
          <w:bCs/>
          <w:sz w:val="24"/>
        </w:rPr>
      </w:pPr>
      <w:r>
        <w:rPr>
          <w:rFonts w:hint="eastAsia" w:ascii="宋体" w:hAnsi="宋体" w:cs="宋体"/>
          <w:bCs/>
          <w:sz w:val="24"/>
        </w:rPr>
        <w:t>（十二）合同生效及其它</w:t>
      </w:r>
    </w:p>
    <w:p w14:paraId="73A7A029">
      <w:pPr>
        <w:snapToGrid w:val="0"/>
        <w:spacing w:line="360" w:lineRule="auto"/>
        <w:ind w:firstLine="480" w:firstLineChars="200"/>
        <w:outlineLvl w:val="0"/>
        <w:rPr>
          <w:rFonts w:ascii="宋体" w:hAnsi="宋体" w:cs="宋体"/>
          <w:bCs/>
          <w:sz w:val="24"/>
        </w:rPr>
      </w:pPr>
      <w:r>
        <w:rPr>
          <w:rFonts w:hint="eastAsia" w:ascii="宋体" w:hAnsi="宋体" w:cs="宋体"/>
          <w:bCs/>
          <w:sz w:val="24"/>
        </w:rPr>
        <w:t>1.合同生效及其效力应符合《中华人民共和国民法典》有关规定。</w:t>
      </w:r>
    </w:p>
    <w:p w14:paraId="3CD5318F">
      <w:pPr>
        <w:snapToGrid w:val="0"/>
        <w:spacing w:line="360" w:lineRule="auto"/>
        <w:ind w:firstLine="480" w:firstLineChars="200"/>
        <w:outlineLvl w:val="0"/>
        <w:rPr>
          <w:rFonts w:hint="eastAsia" w:ascii="宋体" w:hAnsi="宋体" w:eastAsia="宋体" w:cs="宋体"/>
          <w:bCs/>
          <w:sz w:val="24"/>
        </w:rPr>
      </w:pPr>
      <w:r>
        <w:rPr>
          <w:rFonts w:hint="eastAsia" w:ascii="宋体" w:hAnsi="宋体" w:cs="宋体"/>
          <w:bCs/>
          <w:sz w:val="24"/>
        </w:rPr>
        <w:t>2.合</w:t>
      </w:r>
      <w:r>
        <w:rPr>
          <w:rFonts w:hint="eastAsia" w:ascii="宋体" w:hAnsi="宋体" w:eastAsia="宋体" w:cs="宋体"/>
          <w:bCs/>
          <w:sz w:val="24"/>
        </w:rPr>
        <w:t>同应经当事人法定代表人或委托代理人签字，加盖双方合同专用章或公章。</w:t>
      </w:r>
    </w:p>
    <w:p w14:paraId="5E95AB64">
      <w:pPr>
        <w:snapToGrid w:val="0"/>
        <w:spacing w:line="360" w:lineRule="auto"/>
        <w:ind w:firstLine="480" w:firstLineChars="200"/>
        <w:outlineLvl w:val="0"/>
        <w:rPr>
          <w:rFonts w:hint="eastAsia" w:ascii="宋体" w:hAnsi="宋体" w:eastAsia="宋体" w:cs="宋体"/>
          <w:bCs/>
          <w:sz w:val="24"/>
        </w:rPr>
      </w:pPr>
      <w:r>
        <w:rPr>
          <w:rFonts w:hint="eastAsia" w:ascii="宋体" w:hAnsi="宋体" w:eastAsia="宋体" w:cs="宋体"/>
          <w:bCs/>
          <w:sz w:val="24"/>
        </w:rPr>
        <w:t>3.合同所包括附件，是合同不可分割的一部分，具有同等法法律效力。</w:t>
      </w:r>
    </w:p>
    <w:p w14:paraId="49737799">
      <w:pPr>
        <w:tabs>
          <w:tab w:val="left" w:pos="9000"/>
        </w:tabs>
        <w:spacing w:line="276" w:lineRule="auto"/>
        <w:ind w:firstLine="480" w:firstLineChars="200"/>
        <w:jc w:val="center"/>
        <w:rPr>
          <w:rFonts w:ascii="宋体" w:hAnsi="宋体" w:cs="宋体"/>
          <w:color w:val="auto"/>
          <w:sz w:val="21"/>
          <w:szCs w:val="21"/>
          <w:highlight w:val="none"/>
        </w:rPr>
        <w:sectPr>
          <w:footerReference r:id="rId9" w:type="default"/>
          <w:footerReference r:id="rId10" w:type="even"/>
          <w:pgSz w:w="11907" w:h="16840"/>
          <w:pgMar w:top="1417" w:right="1417" w:bottom="1417" w:left="1417" w:header="964" w:footer="992" w:gutter="0"/>
          <w:pgNumType w:fmt="numberInDash"/>
          <w:cols w:space="0" w:num="1"/>
          <w:docGrid w:linePitch="312" w:charSpace="0"/>
        </w:sectPr>
      </w:pPr>
      <w:r>
        <w:rPr>
          <w:rFonts w:hint="eastAsia" w:ascii="宋体" w:hAnsi="宋体" w:eastAsia="宋体" w:cs="宋体"/>
          <w:bCs/>
          <w:sz w:val="24"/>
        </w:rPr>
        <w:t>4.本合同条件未尽事宜依照《中华人民共和国民法典》，由供需双方共同协商确定</w:t>
      </w:r>
    </w:p>
    <w:p w14:paraId="455C2BD3">
      <w:pPr>
        <w:pStyle w:val="4"/>
        <w:pageBreakBefore/>
        <w:spacing w:line="360" w:lineRule="auto"/>
        <w:jc w:val="center"/>
        <w:rPr>
          <w:rFonts w:ascii="宋体" w:hAnsi="宋体" w:eastAsia="宋体" w:cs="宋体"/>
          <w:b w:val="0"/>
          <w:color w:val="auto"/>
          <w:sz w:val="36"/>
          <w:szCs w:val="30"/>
          <w:highlight w:val="none"/>
        </w:rPr>
      </w:pPr>
      <w:bookmarkStart w:id="245" w:name="_Hlt41879464"/>
      <w:bookmarkEnd w:id="245"/>
      <w:bookmarkStart w:id="246" w:name="_Toc12789072"/>
      <w:bookmarkStart w:id="247" w:name="_Toc25506"/>
      <w:bookmarkStart w:id="248" w:name="_Toc12324"/>
      <w:bookmarkStart w:id="249" w:name="_Toc32094"/>
      <w:bookmarkStart w:id="250" w:name="_Toc19134"/>
      <w:bookmarkStart w:id="251" w:name="_Toc20130566"/>
      <w:r>
        <w:rPr>
          <w:rFonts w:hint="eastAsia" w:ascii="宋体" w:hAnsi="宋体" w:eastAsia="宋体" w:cs="宋体"/>
          <w:b w:val="0"/>
          <w:color w:val="auto"/>
          <w:sz w:val="36"/>
          <w:szCs w:val="30"/>
          <w:highlight w:val="none"/>
        </w:rPr>
        <w:t xml:space="preserve">第七篇  </w:t>
      </w:r>
      <w:bookmarkEnd w:id="246"/>
      <w:r>
        <w:rPr>
          <w:rFonts w:hint="eastAsia" w:ascii="宋体" w:hAnsi="宋体" w:eastAsia="宋体" w:cs="宋体"/>
          <w:b w:val="0"/>
          <w:color w:val="auto"/>
          <w:sz w:val="36"/>
          <w:szCs w:val="30"/>
          <w:highlight w:val="none"/>
        </w:rPr>
        <w:t>响应文件编制要求</w:t>
      </w:r>
      <w:bookmarkEnd w:id="247"/>
      <w:bookmarkEnd w:id="248"/>
      <w:bookmarkEnd w:id="249"/>
      <w:bookmarkEnd w:id="250"/>
      <w:bookmarkEnd w:id="251"/>
    </w:p>
    <w:p w14:paraId="4CB71401">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14:paraId="6E0F07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709DC8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（二）最后报价表</w:t>
      </w:r>
    </w:p>
    <w:p w14:paraId="68380486">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0494DC4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73D1A38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（二）技术部分评分所需资料（格式自定）</w:t>
      </w:r>
    </w:p>
    <w:p w14:paraId="3659579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（三）其他资料（格式自定）</w:t>
      </w:r>
    </w:p>
    <w:p w14:paraId="2E41483F">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1B6148B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67D63AB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4BBE796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14:paraId="17C90FE1">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14:paraId="4B267E2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856D63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4589A8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4898BF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C2077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7251DA3B">
      <w:pPr>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五、其他资料</w:t>
      </w:r>
    </w:p>
    <w:p w14:paraId="3162080D">
      <w:pPr>
        <w:spacing w:line="5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911D27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463D139B">
      <w:pPr>
        <w:spacing w:line="360" w:lineRule="auto"/>
        <w:ind w:firstLine="480" w:firstLineChars="200"/>
        <w:rPr>
          <w:rFonts w:ascii="宋体" w:hAnsi="宋体" w:cs="宋体"/>
          <w:color w:val="auto"/>
          <w:sz w:val="24"/>
          <w:szCs w:val="24"/>
          <w:highlight w:val="none"/>
        </w:rPr>
      </w:pPr>
    </w:p>
    <w:p w14:paraId="364C2FF1">
      <w:pPr>
        <w:spacing w:line="44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56EBFEEA">
      <w:pPr>
        <w:pStyle w:val="5"/>
        <w:spacing w:before="0" w:after="0" w:line="360" w:lineRule="auto"/>
        <w:ind w:firstLine="482" w:firstLineChars="200"/>
        <w:rPr>
          <w:rFonts w:ascii="宋体" w:hAnsi="宋体" w:cs="宋体"/>
          <w:color w:val="auto"/>
          <w:sz w:val="24"/>
          <w:szCs w:val="24"/>
          <w:highlight w:val="none"/>
        </w:rPr>
      </w:pPr>
      <w:bookmarkStart w:id="252" w:name="_Toc342913419"/>
      <w:bookmarkStart w:id="253" w:name="_Toc313888360"/>
      <w:bookmarkStart w:id="254" w:name="_Toc14887"/>
      <w:bookmarkStart w:id="255" w:name="_Toc17327"/>
      <w:bookmarkStart w:id="256" w:name="_Toc2312"/>
      <w:bookmarkStart w:id="257" w:name="_Toc16251"/>
      <w:bookmarkStart w:id="258" w:name="_Toc20130567"/>
      <w:bookmarkStart w:id="259" w:name="_Toc313008356"/>
      <w:bookmarkStart w:id="260" w:name="_Toc12789073"/>
      <w:bookmarkStart w:id="261" w:name="_Toc283382454"/>
      <w:r>
        <w:rPr>
          <w:rFonts w:hint="eastAsia" w:ascii="宋体" w:hAnsi="宋体" w:cs="宋体"/>
          <w:color w:val="auto"/>
          <w:sz w:val="24"/>
          <w:szCs w:val="24"/>
          <w:highlight w:val="none"/>
        </w:rPr>
        <w:t>一、经济部分</w:t>
      </w:r>
      <w:bookmarkEnd w:id="252"/>
      <w:bookmarkEnd w:id="253"/>
      <w:bookmarkEnd w:id="254"/>
      <w:bookmarkEnd w:id="255"/>
      <w:bookmarkEnd w:id="256"/>
      <w:bookmarkEnd w:id="257"/>
      <w:bookmarkEnd w:id="258"/>
      <w:bookmarkEnd w:id="259"/>
    </w:p>
    <w:bookmarkEnd w:id="260"/>
    <w:bookmarkEnd w:id="261"/>
    <w:p w14:paraId="7E9FA009">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086D4F8">
      <w:pPr>
        <w:tabs>
          <w:tab w:val="left" w:pos="6300"/>
        </w:tabs>
        <w:snapToGrid w:val="0"/>
        <w:spacing w:line="520" w:lineRule="exact"/>
        <w:jc w:val="center"/>
        <w:outlineLvl w:val="0"/>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3CE8A191">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67FB928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68D75CA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1A09E97A">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r>
        <w:rPr>
          <w:rFonts w:hint="eastAsia" w:ascii="宋体" w:hAnsi="宋体" w:cs="宋体"/>
          <w:color w:val="auto"/>
          <w:sz w:val="24"/>
          <w:szCs w:val="24"/>
          <w:highlight w:val="none"/>
        </w:rPr>
        <w:t>。</w:t>
      </w:r>
    </w:p>
    <w:p w14:paraId="25DE991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17DA8B5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36632848">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37A77E72">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E66D62D">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702DC68A">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5922583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2BDCA4A6">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AD87507">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016406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67B0D98E">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28D1C3FE">
      <w:pPr>
        <w:tabs>
          <w:tab w:val="left" w:pos="6300"/>
        </w:tabs>
        <w:snapToGrid w:val="0"/>
        <w:spacing w:line="520" w:lineRule="exact"/>
        <w:ind w:firstLine="570"/>
        <w:rPr>
          <w:rFonts w:ascii="宋体" w:hAnsi="宋体" w:cs="宋体"/>
          <w:color w:val="auto"/>
          <w:sz w:val="24"/>
          <w:szCs w:val="24"/>
          <w:highlight w:val="none"/>
        </w:rPr>
      </w:pPr>
    </w:p>
    <w:p w14:paraId="4BF6EFCB">
      <w:pPr>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227F988">
      <w:pPr>
        <w:snapToGrid w:val="0"/>
        <w:spacing w:line="520" w:lineRule="exact"/>
        <w:ind w:firstLine="480" w:firstLineChars="200"/>
        <w:rPr>
          <w:rFonts w:ascii="宋体" w:hAnsi="宋体" w:cs="宋体"/>
          <w:color w:val="auto"/>
          <w:sz w:val="24"/>
          <w:szCs w:val="24"/>
          <w:highlight w:val="none"/>
        </w:rPr>
      </w:pPr>
    </w:p>
    <w:p w14:paraId="571E5E54">
      <w:pPr>
        <w:snapToGrid w:val="0"/>
        <w:spacing w:line="50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427CE50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（二）最后报价表</w:t>
      </w:r>
    </w:p>
    <w:p w14:paraId="59ED8396">
      <w:pPr>
        <w:snapToGrid w:val="0"/>
        <w:spacing w:line="500" w:lineRule="exact"/>
        <w:jc w:val="center"/>
        <w:rPr>
          <w:rFonts w:ascii="宋体" w:hAnsi="宋体" w:cs="宋体"/>
          <w:b/>
          <w:bCs/>
          <w:color w:val="auto"/>
          <w:sz w:val="36"/>
          <w:szCs w:val="36"/>
          <w:highlight w:val="none"/>
        </w:rPr>
      </w:pPr>
      <w:bookmarkStart w:id="262" w:name="_Toc342913420"/>
      <w:bookmarkStart w:id="263" w:name="_Toc313008357"/>
      <w:bookmarkStart w:id="264" w:name="_Toc313888361"/>
      <w:bookmarkStart w:id="265" w:name="_Toc20130568"/>
      <w:r>
        <w:rPr>
          <w:rFonts w:hint="eastAsia" w:ascii="宋体" w:hAnsi="宋体" w:cs="宋体"/>
          <w:b/>
          <w:bCs/>
          <w:color w:val="auto"/>
          <w:sz w:val="36"/>
          <w:szCs w:val="36"/>
          <w:highlight w:val="none"/>
        </w:rPr>
        <w:t>最后报价表</w:t>
      </w:r>
    </w:p>
    <w:p w14:paraId="7037C73B">
      <w:pPr>
        <w:pStyle w:val="24"/>
        <w:rPr>
          <w:rFonts w:hAnsi="宋体" w:cs="宋体"/>
          <w:color w:val="auto"/>
          <w:highlight w:val="none"/>
        </w:rPr>
      </w:pPr>
    </w:p>
    <w:tbl>
      <w:tblPr>
        <w:tblStyle w:val="16"/>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139B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7110F89D">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759A0A87">
            <w:pPr>
              <w:spacing w:line="500" w:lineRule="exact"/>
              <w:jc w:val="center"/>
              <w:rPr>
                <w:rFonts w:ascii="宋体" w:hAnsi="宋体" w:cs="宋体"/>
                <w:color w:val="auto"/>
                <w:sz w:val="24"/>
                <w:szCs w:val="24"/>
                <w:highlight w:val="none"/>
              </w:rPr>
            </w:pPr>
          </w:p>
        </w:tc>
      </w:tr>
      <w:tr w14:paraId="5858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4C48AA79">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66B8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6054FF00">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7E2F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2A7FC978">
            <w:pPr>
              <w:pStyle w:val="11"/>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0C2B8B4B">
      <w:pPr>
        <w:pStyle w:val="26"/>
        <w:rPr>
          <w:rFonts w:ascii="宋体" w:hAnsi="宋体" w:cs="宋体"/>
          <w:color w:val="auto"/>
          <w:sz w:val="24"/>
          <w:szCs w:val="24"/>
          <w:highlight w:val="none"/>
        </w:rPr>
      </w:pPr>
    </w:p>
    <w:p w14:paraId="5EE34478">
      <w:pPr>
        <w:pStyle w:val="26"/>
        <w:rPr>
          <w:rFonts w:ascii="宋体" w:hAnsi="宋体" w:cs="宋体"/>
          <w:color w:val="auto"/>
          <w:sz w:val="24"/>
          <w:szCs w:val="24"/>
          <w:highlight w:val="none"/>
        </w:rPr>
      </w:pPr>
    </w:p>
    <w:p w14:paraId="7A8D00C7">
      <w:pPr>
        <w:snapToGrid w:val="0"/>
        <w:spacing w:line="500" w:lineRule="exact"/>
        <w:ind w:firstLine="570"/>
        <w:jc w:val="center"/>
        <w:rPr>
          <w:rFonts w:ascii="宋体" w:hAnsi="宋体" w:cs="宋体"/>
          <w:b/>
          <w:bCs/>
          <w:color w:val="auto"/>
          <w:sz w:val="24"/>
          <w:szCs w:val="24"/>
          <w:highlight w:val="none"/>
        </w:rPr>
      </w:pPr>
    </w:p>
    <w:p w14:paraId="5250140A">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法定代表人（或其授权代表）或自然人：</w:t>
      </w:r>
    </w:p>
    <w:p w14:paraId="3167EC81">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14:paraId="05F523AC">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63DDA2C">
      <w:pPr>
        <w:snapToGrid w:val="0"/>
        <w:spacing w:line="500" w:lineRule="exact"/>
        <w:ind w:firstLine="480" w:firstLineChars="200"/>
        <w:rPr>
          <w:rFonts w:ascii="宋体" w:hAnsi="宋体" w:cs="宋体"/>
          <w:color w:val="auto"/>
          <w:sz w:val="24"/>
          <w:szCs w:val="24"/>
          <w:highlight w:val="none"/>
        </w:rPr>
      </w:pPr>
    </w:p>
    <w:p w14:paraId="3BC3F6C2">
      <w:pPr>
        <w:snapToGrid w:val="0"/>
        <w:spacing w:line="500" w:lineRule="exact"/>
        <w:ind w:firstLine="480" w:firstLineChars="200"/>
        <w:rPr>
          <w:rFonts w:ascii="宋体" w:hAnsi="宋体" w:cs="宋体"/>
          <w:color w:val="auto"/>
          <w:sz w:val="24"/>
          <w:szCs w:val="24"/>
          <w:highlight w:val="none"/>
        </w:rPr>
      </w:pPr>
    </w:p>
    <w:p w14:paraId="4FC05174">
      <w:pPr>
        <w:pStyle w:val="5"/>
        <w:spacing w:before="0" w:after="0" w:line="360" w:lineRule="auto"/>
        <w:ind w:firstLine="480" w:firstLineChars="200"/>
        <w:rPr>
          <w:rFonts w:hint="eastAsia" w:ascii="宋体" w:hAnsi="宋体" w:cs="宋体"/>
          <w:b w:val="0"/>
          <w:bCs/>
          <w:sz w:val="24"/>
          <w:szCs w:val="24"/>
        </w:rPr>
      </w:pPr>
      <w:bookmarkStart w:id="266" w:name="_Toc23609"/>
      <w:bookmarkStart w:id="267" w:name="_Toc19409"/>
      <w:bookmarkStart w:id="268" w:name="_Toc18164"/>
      <w:bookmarkStart w:id="269" w:name="_Toc17584"/>
    </w:p>
    <w:p w14:paraId="578DA413">
      <w:pPr>
        <w:pStyle w:val="5"/>
        <w:spacing w:before="0" w:after="0" w:line="360" w:lineRule="auto"/>
        <w:ind w:firstLine="480" w:firstLineChars="200"/>
        <w:rPr>
          <w:rFonts w:ascii="宋体" w:hAnsi="宋体" w:cs="宋体"/>
          <w:b w:val="0"/>
          <w:bCs/>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b w:val="0"/>
          <w:bCs/>
          <w:sz w:val="24"/>
          <w:szCs w:val="24"/>
        </w:rPr>
        <w:t>请各供应商将最后报价表单独打印（响应文件中不提供本表），并随身携带到开标现场，通过磋商后，在开标现场填写最后报价表，务必填写清楚，准确无误。</w:t>
      </w:r>
      <w:bookmarkStart w:id="298" w:name="_GoBack"/>
      <w:r>
        <w:rPr>
          <w:rFonts w:ascii="宋体" w:hAnsi="宋体" w:cs="宋体"/>
          <w:b w:val="0"/>
          <w:bCs/>
          <w:sz w:val="24"/>
          <w:szCs w:val="24"/>
        </w:rPr>
        <w:t>已提交响应文件但未在规定时间内进行最后报价的供应商，视为放弃最后报价，以供应商响应文件中的报价为准</w:t>
      </w:r>
      <w:bookmarkEnd w:id="298"/>
      <w:r>
        <w:rPr>
          <w:rFonts w:hint="eastAsia" w:ascii="宋体" w:hAnsi="宋体" w:cs="宋体"/>
          <w:b w:val="0"/>
          <w:bCs/>
          <w:color w:val="auto"/>
          <w:sz w:val="24"/>
          <w:szCs w:val="24"/>
          <w:highlight w:val="none"/>
        </w:rPr>
        <w:t>。</w:t>
      </w:r>
      <w:bookmarkEnd w:id="266"/>
      <w:bookmarkEnd w:id="267"/>
      <w:bookmarkEnd w:id="268"/>
      <w:bookmarkEnd w:id="269"/>
    </w:p>
    <w:p w14:paraId="49718489">
      <w:pPr>
        <w:pStyle w:val="5"/>
        <w:spacing w:before="0" w:after="0" w:line="360" w:lineRule="auto"/>
        <w:ind w:firstLine="482" w:firstLineChars="200"/>
        <w:rPr>
          <w:rFonts w:ascii="宋体" w:hAnsi="宋体" w:cs="宋体"/>
          <w:color w:val="auto"/>
          <w:sz w:val="24"/>
          <w:szCs w:val="24"/>
          <w:highlight w:val="none"/>
        </w:rPr>
      </w:pPr>
      <w:bookmarkStart w:id="270" w:name="_Toc3372"/>
      <w:bookmarkStart w:id="271" w:name="_Toc30329"/>
      <w:bookmarkStart w:id="272" w:name="_Toc30292"/>
      <w:bookmarkStart w:id="273" w:name="_Toc12741"/>
      <w:r>
        <w:rPr>
          <w:rFonts w:hint="eastAsia" w:ascii="宋体" w:hAnsi="宋体" w:cs="宋体"/>
          <w:color w:val="auto"/>
          <w:sz w:val="24"/>
          <w:szCs w:val="24"/>
          <w:highlight w:val="none"/>
        </w:rPr>
        <w:t>二、技术部分</w:t>
      </w:r>
      <w:bookmarkEnd w:id="262"/>
      <w:bookmarkEnd w:id="263"/>
      <w:bookmarkEnd w:id="264"/>
      <w:bookmarkEnd w:id="265"/>
      <w:bookmarkEnd w:id="270"/>
      <w:bookmarkEnd w:id="271"/>
      <w:bookmarkEnd w:id="272"/>
      <w:bookmarkEnd w:id="273"/>
    </w:p>
    <w:p w14:paraId="30C83AD6">
      <w:pPr>
        <w:tabs>
          <w:tab w:val="left" w:pos="6300"/>
        </w:tabs>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（一）技术响应偏离表</w:t>
      </w:r>
    </w:p>
    <w:p w14:paraId="3CB38FA1">
      <w:pPr>
        <w:pStyle w:val="11"/>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项目号：</w:t>
      </w:r>
    </w:p>
    <w:p w14:paraId="0CB7F4FF">
      <w:pPr>
        <w:pStyle w:val="11"/>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磋商项目名称：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634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3BFFA94">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658" w:type="dxa"/>
            <w:vAlign w:val="center"/>
          </w:tcPr>
          <w:p w14:paraId="4109504B">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2759" w:type="dxa"/>
            <w:vAlign w:val="center"/>
          </w:tcPr>
          <w:p w14:paraId="0ECCA75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067" w:type="dxa"/>
            <w:vAlign w:val="center"/>
          </w:tcPr>
          <w:p w14:paraId="2035DF3F">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76ED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FF38E8">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7C6DFADC">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801B403">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4A3E88E5">
            <w:pPr>
              <w:tabs>
                <w:tab w:val="left" w:pos="6300"/>
              </w:tabs>
              <w:snapToGrid w:val="0"/>
              <w:spacing w:line="500" w:lineRule="exact"/>
              <w:jc w:val="center"/>
              <w:outlineLvl w:val="0"/>
              <w:rPr>
                <w:rFonts w:ascii="宋体" w:hAnsi="宋体" w:cs="宋体"/>
                <w:color w:val="auto"/>
                <w:sz w:val="21"/>
                <w:szCs w:val="21"/>
                <w:highlight w:val="none"/>
              </w:rPr>
            </w:pPr>
          </w:p>
        </w:tc>
      </w:tr>
      <w:tr w14:paraId="012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BC22C2">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CA9DF54">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16CDE054">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F61B44D">
            <w:pPr>
              <w:tabs>
                <w:tab w:val="left" w:pos="6300"/>
              </w:tabs>
              <w:snapToGrid w:val="0"/>
              <w:spacing w:line="500" w:lineRule="exact"/>
              <w:jc w:val="center"/>
              <w:outlineLvl w:val="0"/>
              <w:rPr>
                <w:rFonts w:ascii="宋体" w:hAnsi="宋体" w:cs="宋体"/>
                <w:color w:val="auto"/>
                <w:sz w:val="21"/>
                <w:szCs w:val="21"/>
                <w:highlight w:val="none"/>
              </w:rPr>
            </w:pPr>
          </w:p>
        </w:tc>
      </w:tr>
      <w:tr w14:paraId="3B5E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6B07E7">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12D515C1">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47F7D3A6">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9B743BB">
            <w:pPr>
              <w:tabs>
                <w:tab w:val="left" w:pos="6300"/>
              </w:tabs>
              <w:snapToGrid w:val="0"/>
              <w:spacing w:line="500" w:lineRule="exact"/>
              <w:jc w:val="center"/>
              <w:outlineLvl w:val="0"/>
              <w:rPr>
                <w:rFonts w:ascii="宋体" w:hAnsi="宋体" w:cs="宋体"/>
                <w:color w:val="auto"/>
                <w:sz w:val="21"/>
                <w:szCs w:val="21"/>
                <w:highlight w:val="none"/>
              </w:rPr>
            </w:pPr>
          </w:p>
        </w:tc>
      </w:tr>
      <w:tr w14:paraId="0F14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9D51AA">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67227FC3">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24321AA">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5ED693E6">
            <w:pPr>
              <w:tabs>
                <w:tab w:val="left" w:pos="6300"/>
              </w:tabs>
              <w:snapToGrid w:val="0"/>
              <w:spacing w:line="500" w:lineRule="exact"/>
              <w:jc w:val="center"/>
              <w:outlineLvl w:val="0"/>
              <w:rPr>
                <w:rFonts w:ascii="宋体" w:hAnsi="宋体" w:cs="宋体"/>
                <w:color w:val="auto"/>
                <w:sz w:val="21"/>
                <w:szCs w:val="21"/>
                <w:highlight w:val="none"/>
              </w:rPr>
            </w:pPr>
          </w:p>
        </w:tc>
      </w:tr>
      <w:tr w14:paraId="5A60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2D8E70">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091E5902">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FE10545">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3D807E30">
            <w:pPr>
              <w:tabs>
                <w:tab w:val="left" w:pos="6300"/>
              </w:tabs>
              <w:snapToGrid w:val="0"/>
              <w:spacing w:line="500" w:lineRule="exact"/>
              <w:jc w:val="center"/>
              <w:outlineLvl w:val="0"/>
              <w:rPr>
                <w:rFonts w:ascii="宋体" w:hAnsi="宋体" w:cs="宋体"/>
                <w:color w:val="auto"/>
                <w:sz w:val="21"/>
                <w:szCs w:val="21"/>
                <w:highlight w:val="none"/>
              </w:rPr>
            </w:pPr>
          </w:p>
        </w:tc>
      </w:tr>
      <w:tr w14:paraId="737A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E008D0">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033EB388">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53313DE">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8484379">
            <w:pPr>
              <w:tabs>
                <w:tab w:val="left" w:pos="6300"/>
              </w:tabs>
              <w:snapToGrid w:val="0"/>
              <w:spacing w:line="500" w:lineRule="exact"/>
              <w:jc w:val="center"/>
              <w:outlineLvl w:val="0"/>
              <w:rPr>
                <w:rFonts w:ascii="宋体" w:hAnsi="宋体" w:cs="宋体"/>
                <w:color w:val="auto"/>
                <w:sz w:val="21"/>
                <w:szCs w:val="21"/>
                <w:highlight w:val="none"/>
              </w:rPr>
            </w:pPr>
          </w:p>
        </w:tc>
      </w:tr>
      <w:tr w14:paraId="79AC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25AF93">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55EA10CC">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310494E0">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2904666">
            <w:pPr>
              <w:tabs>
                <w:tab w:val="left" w:pos="6300"/>
              </w:tabs>
              <w:snapToGrid w:val="0"/>
              <w:spacing w:line="500" w:lineRule="exact"/>
              <w:jc w:val="center"/>
              <w:outlineLvl w:val="0"/>
              <w:rPr>
                <w:rFonts w:ascii="宋体" w:hAnsi="宋体" w:cs="宋体"/>
                <w:color w:val="auto"/>
                <w:sz w:val="21"/>
                <w:szCs w:val="21"/>
                <w:highlight w:val="none"/>
              </w:rPr>
            </w:pPr>
          </w:p>
        </w:tc>
      </w:tr>
      <w:tr w14:paraId="0A42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900D51">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3CF5FD5">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D3C35B0">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019ACC8">
            <w:pPr>
              <w:tabs>
                <w:tab w:val="left" w:pos="6300"/>
              </w:tabs>
              <w:snapToGrid w:val="0"/>
              <w:spacing w:line="500" w:lineRule="exact"/>
              <w:jc w:val="center"/>
              <w:outlineLvl w:val="0"/>
              <w:rPr>
                <w:rFonts w:ascii="宋体" w:hAnsi="宋体" w:cs="宋体"/>
                <w:color w:val="auto"/>
                <w:sz w:val="21"/>
                <w:szCs w:val="21"/>
                <w:highlight w:val="none"/>
              </w:rPr>
            </w:pPr>
          </w:p>
        </w:tc>
      </w:tr>
    </w:tbl>
    <w:p w14:paraId="7EC8B295">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sz w:val="24"/>
          <w:szCs w:val="28"/>
        </w:rPr>
        <w:t xml:space="preserve"> </w:t>
      </w:r>
      <w:r>
        <w:rPr>
          <w:rFonts w:hint="eastAsia" w:ascii="宋体" w:hAnsi="宋体" w:eastAsia="宋体" w:cs="宋体"/>
          <w:sz w:val="24"/>
          <w:szCs w:val="28"/>
        </w:rPr>
        <w:t>法定代表人（或其授权代表）或自然人</w:t>
      </w:r>
      <w:r>
        <w:rPr>
          <w:rFonts w:hint="eastAsia" w:ascii="宋体" w:hAnsi="宋体" w:cs="宋体"/>
          <w:color w:val="auto"/>
          <w:sz w:val="24"/>
          <w:szCs w:val="28"/>
          <w:highlight w:val="none"/>
        </w:rPr>
        <w:t>：</w:t>
      </w:r>
    </w:p>
    <w:p w14:paraId="1AFF1F0C">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7B46DA2">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2E896CB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4AEF750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33DDC8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项目技术需求”中所列条款进行比较和响应；</w:t>
      </w:r>
    </w:p>
    <w:p w14:paraId="4B4384B6">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3AEF649F">
      <w:pPr>
        <w:tabs>
          <w:tab w:val="left" w:pos="6300"/>
        </w:tabs>
        <w:snapToGrid w:val="0"/>
        <w:spacing w:line="500" w:lineRule="exact"/>
        <w:rPr>
          <w:rFonts w:ascii="宋体" w:hAnsi="宋体" w:cs="宋体"/>
          <w:color w:val="auto"/>
          <w:sz w:val="24"/>
          <w:szCs w:val="24"/>
          <w:highlight w:val="none"/>
        </w:rPr>
      </w:pPr>
    </w:p>
    <w:p w14:paraId="0938B657">
      <w:pPr>
        <w:pStyle w:val="5"/>
        <w:spacing w:before="0" w:after="0" w:line="360" w:lineRule="auto"/>
        <w:ind w:firstLine="482"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bookmarkStart w:id="274" w:name="_Toc313888362"/>
      <w:bookmarkStart w:id="275" w:name="_Toc313008358"/>
      <w:bookmarkStart w:id="276" w:name="_Toc342913421"/>
      <w:bookmarkStart w:id="277" w:name="_Toc20130569"/>
    </w:p>
    <w:p w14:paraId="493B8992">
      <w:pPr>
        <w:tabs>
          <w:tab w:val="left" w:pos="6300"/>
        </w:tabs>
        <w:snapToGrid w:val="0"/>
        <w:spacing w:line="50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color w:val="auto"/>
          <w:sz w:val="24"/>
          <w:szCs w:val="24"/>
          <w:highlight w:val="none"/>
        </w:rPr>
        <w:t>（二）技术部分评分所需资料（格式自定）</w:t>
      </w:r>
    </w:p>
    <w:p w14:paraId="2CB79AB8">
      <w:pPr>
        <w:tabs>
          <w:tab w:val="left" w:pos="6300"/>
        </w:tabs>
        <w:snapToGrid w:val="0"/>
        <w:spacing w:line="50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color w:val="auto"/>
          <w:sz w:val="24"/>
          <w:szCs w:val="24"/>
          <w:highlight w:val="none"/>
        </w:rPr>
        <w:t>（三））其他资料（格式自定）</w:t>
      </w:r>
    </w:p>
    <w:p w14:paraId="62F397B7">
      <w:pPr>
        <w:pStyle w:val="5"/>
        <w:spacing w:before="0" w:after="0" w:line="360" w:lineRule="auto"/>
        <w:ind w:firstLine="482" w:firstLineChars="200"/>
        <w:rPr>
          <w:rFonts w:ascii="宋体" w:hAnsi="宋体" w:cs="宋体"/>
          <w:color w:val="auto"/>
          <w:sz w:val="24"/>
          <w:szCs w:val="24"/>
          <w:highlight w:val="none"/>
        </w:rPr>
      </w:pPr>
      <w:bookmarkStart w:id="278" w:name="_Toc5005"/>
      <w:bookmarkStart w:id="279" w:name="_Toc6538"/>
      <w:bookmarkStart w:id="280" w:name="_Toc14023"/>
      <w:bookmarkStart w:id="281" w:name="_Toc19664"/>
      <w:r>
        <w:rPr>
          <w:rFonts w:hint="eastAsia" w:ascii="宋体" w:hAnsi="宋体" w:cs="宋体"/>
          <w:color w:val="auto"/>
          <w:sz w:val="24"/>
          <w:szCs w:val="24"/>
          <w:highlight w:val="none"/>
        </w:rPr>
        <w:t>三、商务部分</w:t>
      </w:r>
      <w:bookmarkEnd w:id="274"/>
      <w:bookmarkEnd w:id="275"/>
      <w:bookmarkEnd w:id="276"/>
      <w:bookmarkEnd w:id="277"/>
      <w:bookmarkEnd w:id="278"/>
      <w:bookmarkEnd w:id="279"/>
      <w:bookmarkEnd w:id="280"/>
      <w:bookmarkEnd w:id="281"/>
    </w:p>
    <w:p w14:paraId="67D2FAD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9F47965">
      <w:pPr>
        <w:pStyle w:val="11"/>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项目号：</w:t>
      </w:r>
    </w:p>
    <w:p w14:paraId="0052B5A7">
      <w:pPr>
        <w:pStyle w:val="11"/>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磋商项目名称：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821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473B200">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658" w:type="dxa"/>
            <w:vAlign w:val="center"/>
          </w:tcPr>
          <w:p w14:paraId="424E1BFF">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2759" w:type="dxa"/>
            <w:vAlign w:val="center"/>
          </w:tcPr>
          <w:p w14:paraId="10694BBB">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067" w:type="dxa"/>
            <w:vAlign w:val="center"/>
          </w:tcPr>
          <w:p w14:paraId="2768B35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7202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41F4BA">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FA26D28">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08F4CA0">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6AA177B8">
            <w:pPr>
              <w:tabs>
                <w:tab w:val="left" w:pos="6300"/>
              </w:tabs>
              <w:snapToGrid w:val="0"/>
              <w:spacing w:line="500" w:lineRule="exact"/>
              <w:jc w:val="center"/>
              <w:outlineLvl w:val="0"/>
              <w:rPr>
                <w:rFonts w:ascii="宋体" w:hAnsi="宋体" w:cs="宋体"/>
                <w:color w:val="auto"/>
                <w:sz w:val="21"/>
                <w:szCs w:val="21"/>
                <w:highlight w:val="none"/>
              </w:rPr>
            </w:pPr>
          </w:p>
        </w:tc>
      </w:tr>
      <w:tr w14:paraId="2C2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C47B6B">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725BD175">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0C13CA1">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7F5F953E">
            <w:pPr>
              <w:tabs>
                <w:tab w:val="left" w:pos="6300"/>
              </w:tabs>
              <w:snapToGrid w:val="0"/>
              <w:spacing w:line="500" w:lineRule="exact"/>
              <w:jc w:val="center"/>
              <w:outlineLvl w:val="0"/>
              <w:rPr>
                <w:rFonts w:ascii="宋体" w:hAnsi="宋体" w:cs="宋体"/>
                <w:color w:val="auto"/>
                <w:sz w:val="21"/>
                <w:szCs w:val="21"/>
                <w:highlight w:val="none"/>
              </w:rPr>
            </w:pPr>
          </w:p>
        </w:tc>
      </w:tr>
      <w:tr w14:paraId="4FF8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3EA051">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EDA7377">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3B919E4">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6CB1A65C">
            <w:pPr>
              <w:tabs>
                <w:tab w:val="left" w:pos="6300"/>
              </w:tabs>
              <w:snapToGrid w:val="0"/>
              <w:spacing w:line="500" w:lineRule="exact"/>
              <w:jc w:val="center"/>
              <w:outlineLvl w:val="0"/>
              <w:rPr>
                <w:rFonts w:ascii="宋体" w:hAnsi="宋体" w:cs="宋体"/>
                <w:color w:val="auto"/>
                <w:sz w:val="21"/>
                <w:szCs w:val="21"/>
                <w:highlight w:val="none"/>
              </w:rPr>
            </w:pPr>
          </w:p>
        </w:tc>
      </w:tr>
      <w:tr w14:paraId="13A5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187929">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7F858A2">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75C4D48D">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F2FC743">
            <w:pPr>
              <w:tabs>
                <w:tab w:val="left" w:pos="6300"/>
              </w:tabs>
              <w:snapToGrid w:val="0"/>
              <w:spacing w:line="500" w:lineRule="exact"/>
              <w:jc w:val="center"/>
              <w:outlineLvl w:val="0"/>
              <w:rPr>
                <w:rFonts w:ascii="宋体" w:hAnsi="宋体" w:cs="宋体"/>
                <w:color w:val="auto"/>
                <w:sz w:val="21"/>
                <w:szCs w:val="21"/>
                <w:highlight w:val="none"/>
              </w:rPr>
            </w:pPr>
          </w:p>
        </w:tc>
      </w:tr>
      <w:tr w14:paraId="11E0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C134D1">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19FC6B18">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7FF2842">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ED8C552">
            <w:pPr>
              <w:tabs>
                <w:tab w:val="left" w:pos="6300"/>
              </w:tabs>
              <w:snapToGrid w:val="0"/>
              <w:spacing w:line="500" w:lineRule="exact"/>
              <w:jc w:val="center"/>
              <w:outlineLvl w:val="0"/>
              <w:rPr>
                <w:rFonts w:ascii="宋体" w:hAnsi="宋体" w:cs="宋体"/>
                <w:color w:val="auto"/>
                <w:sz w:val="21"/>
                <w:szCs w:val="21"/>
                <w:highlight w:val="none"/>
              </w:rPr>
            </w:pPr>
          </w:p>
        </w:tc>
      </w:tr>
      <w:tr w14:paraId="4026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BEBC64">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27B95AE">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128A8441">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8B711E1">
            <w:pPr>
              <w:tabs>
                <w:tab w:val="left" w:pos="6300"/>
              </w:tabs>
              <w:snapToGrid w:val="0"/>
              <w:spacing w:line="500" w:lineRule="exact"/>
              <w:jc w:val="center"/>
              <w:outlineLvl w:val="0"/>
              <w:rPr>
                <w:rFonts w:ascii="宋体" w:hAnsi="宋体" w:cs="宋体"/>
                <w:color w:val="auto"/>
                <w:sz w:val="21"/>
                <w:szCs w:val="21"/>
                <w:highlight w:val="none"/>
              </w:rPr>
            </w:pPr>
          </w:p>
        </w:tc>
      </w:tr>
      <w:tr w14:paraId="6591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4DA501">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E1916C5">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8FA2DAE">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3B529C89">
            <w:pPr>
              <w:tabs>
                <w:tab w:val="left" w:pos="6300"/>
              </w:tabs>
              <w:snapToGrid w:val="0"/>
              <w:spacing w:line="500" w:lineRule="exact"/>
              <w:jc w:val="center"/>
              <w:outlineLvl w:val="0"/>
              <w:rPr>
                <w:rFonts w:ascii="宋体" w:hAnsi="宋体" w:cs="宋体"/>
                <w:color w:val="auto"/>
                <w:sz w:val="21"/>
                <w:szCs w:val="21"/>
                <w:highlight w:val="none"/>
              </w:rPr>
            </w:pPr>
          </w:p>
        </w:tc>
      </w:tr>
      <w:tr w14:paraId="78DB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A0F8F0">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6B95708A">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5AB7F522">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5B3AF31C">
            <w:pPr>
              <w:tabs>
                <w:tab w:val="left" w:pos="6300"/>
              </w:tabs>
              <w:snapToGrid w:val="0"/>
              <w:spacing w:line="500" w:lineRule="exact"/>
              <w:jc w:val="center"/>
              <w:outlineLvl w:val="0"/>
              <w:rPr>
                <w:rFonts w:ascii="宋体" w:hAnsi="宋体" w:cs="宋体"/>
                <w:color w:val="auto"/>
                <w:sz w:val="21"/>
                <w:szCs w:val="21"/>
                <w:highlight w:val="none"/>
              </w:rPr>
            </w:pPr>
          </w:p>
        </w:tc>
      </w:tr>
    </w:tbl>
    <w:p w14:paraId="503E48AC">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eastAsia="宋体" w:cs="宋体"/>
          <w:sz w:val="24"/>
          <w:szCs w:val="28"/>
        </w:rPr>
        <w:t>法定代表人（或其授权代表）或自然人</w:t>
      </w:r>
      <w:r>
        <w:rPr>
          <w:rFonts w:hint="eastAsia" w:ascii="宋体" w:hAnsi="宋体" w:cs="宋体"/>
          <w:color w:val="auto"/>
          <w:sz w:val="24"/>
          <w:szCs w:val="28"/>
          <w:highlight w:val="none"/>
        </w:rPr>
        <w:t>：</w:t>
      </w:r>
    </w:p>
    <w:p w14:paraId="4495702D">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5250F7B">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4A4ADC4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1A43FEB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A8BCB2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篇  项目商务需求”中所列条款进行比较和响应；</w:t>
      </w:r>
    </w:p>
    <w:p w14:paraId="3BB06226">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029D8745">
      <w:pPr>
        <w:spacing w:line="360" w:lineRule="auto"/>
        <w:rPr>
          <w:rFonts w:ascii="宋体" w:hAnsi="宋体" w:cs="宋体"/>
          <w:color w:val="auto"/>
          <w:highlight w:val="none"/>
        </w:rPr>
        <w:sectPr>
          <w:pgSz w:w="11907" w:h="16840"/>
          <w:pgMar w:top="1134" w:right="1191" w:bottom="1134" w:left="1191" w:header="851" w:footer="992" w:gutter="0"/>
          <w:pgNumType w:fmt="numberInDash"/>
          <w:cols w:space="720" w:num="1"/>
          <w:docGrid w:linePitch="380" w:charSpace="-5735"/>
        </w:sectPr>
      </w:pPr>
    </w:p>
    <w:p w14:paraId="0E4333D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52D28CB4">
      <w:pPr>
        <w:snapToGrid w:val="0"/>
        <w:spacing w:line="360" w:lineRule="auto"/>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785AF82F">
      <w:pPr>
        <w:snapToGrid w:val="0"/>
        <w:spacing w:line="360" w:lineRule="auto"/>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color w:val="auto"/>
          <w:sz w:val="24"/>
          <w:szCs w:val="24"/>
          <w:highlight w:val="none"/>
        </w:rPr>
        <w:t>（三）其它优惠服务承诺</w:t>
      </w:r>
    </w:p>
    <w:p w14:paraId="522B7CEB">
      <w:pPr>
        <w:pStyle w:val="4"/>
        <w:adjustRightInd w:val="0"/>
        <w:snapToGrid w:val="0"/>
        <w:spacing w:before="0" w:after="0" w:line="400" w:lineRule="exact"/>
        <w:ind w:firstLine="480" w:firstLineChars="200"/>
        <w:rPr>
          <w:rFonts w:ascii="宋体" w:hAnsi="宋体" w:eastAsia="宋体" w:cs="宋体"/>
          <w:color w:val="auto"/>
          <w:sz w:val="24"/>
          <w:highlight w:val="none"/>
        </w:rPr>
      </w:pPr>
      <w:bookmarkStart w:id="282" w:name="_Toc14735"/>
      <w:bookmarkStart w:id="283" w:name="_Toc76462353"/>
      <w:bookmarkStart w:id="284" w:name="_Toc106030909"/>
      <w:bookmarkStart w:id="285" w:name="_Toc17069"/>
      <w:bookmarkStart w:id="286" w:name="_Toc313008359"/>
      <w:bookmarkStart w:id="287" w:name="_Toc32206"/>
      <w:bookmarkStart w:id="288" w:name="_Toc342913422"/>
      <w:bookmarkStart w:id="289" w:name="_Toc313888363"/>
      <w:bookmarkStart w:id="290" w:name="_Toc22703"/>
      <w:r>
        <w:rPr>
          <w:rFonts w:hint="eastAsia" w:ascii="宋体" w:hAnsi="宋体" w:eastAsia="宋体" w:cs="宋体"/>
          <w:color w:val="auto"/>
          <w:sz w:val="24"/>
          <w:highlight w:val="none"/>
        </w:rPr>
        <w:t>四、资格条件</w:t>
      </w:r>
      <w:bookmarkEnd w:id="282"/>
      <w:bookmarkEnd w:id="283"/>
      <w:bookmarkEnd w:id="284"/>
      <w:bookmarkEnd w:id="285"/>
      <w:bookmarkEnd w:id="286"/>
      <w:bookmarkEnd w:id="287"/>
      <w:bookmarkEnd w:id="288"/>
      <w:bookmarkEnd w:id="289"/>
      <w:bookmarkEnd w:id="290"/>
    </w:p>
    <w:p w14:paraId="1CB1127E">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3D182CFC">
      <w:pPr>
        <w:tabs>
          <w:tab w:val="left" w:pos="6300"/>
        </w:tabs>
        <w:snapToGrid w:val="0"/>
        <w:spacing w:line="400" w:lineRule="exact"/>
        <w:ind w:firstLine="570"/>
        <w:rPr>
          <w:rFonts w:ascii="宋体" w:hAnsi="宋体" w:cs="宋体"/>
          <w:color w:val="auto"/>
          <w:highlight w:val="none"/>
        </w:rPr>
      </w:pPr>
    </w:p>
    <w:p w14:paraId="216B2959">
      <w:pPr>
        <w:tabs>
          <w:tab w:val="left" w:pos="6300"/>
        </w:tabs>
        <w:snapToGrid w:val="0"/>
        <w:spacing w:line="500" w:lineRule="exact"/>
        <w:ind w:firstLine="570"/>
        <w:rPr>
          <w:rFonts w:ascii="宋体" w:hAnsi="宋体" w:cs="宋体"/>
          <w:color w:val="auto"/>
          <w:highlight w:val="none"/>
        </w:rPr>
      </w:pPr>
    </w:p>
    <w:p w14:paraId="1990D2A6">
      <w:pPr>
        <w:tabs>
          <w:tab w:val="left" w:pos="6300"/>
        </w:tabs>
        <w:snapToGrid w:val="0"/>
        <w:spacing w:line="500" w:lineRule="exact"/>
        <w:ind w:firstLine="570"/>
        <w:rPr>
          <w:rFonts w:ascii="宋体" w:hAnsi="宋体" w:cs="宋体"/>
          <w:color w:val="auto"/>
          <w:highlight w:val="none"/>
        </w:rPr>
      </w:pPr>
    </w:p>
    <w:p w14:paraId="26A43783">
      <w:pPr>
        <w:tabs>
          <w:tab w:val="left" w:pos="6300"/>
        </w:tabs>
        <w:snapToGrid w:val="0"/>
        <w:spacing w:line="500" w:lineRule="exact"/>
        <w:ind w:firstLine="570"/>
        <w:rPr>
          <w:rFonts w:ascii="宋体" w:hAnsi="宋体" w:cs="宋体"/>
          <w:color w:val="auto"/>
          <w:highlight w:val="none"/>
        </w:rPr>
      </w:pPr>
    </w:p>
    <w:p w14:paraId="34F5649E">
      <w:pPr>
        <w:tabs>
          <w:tab w:val="left" w:pos="6300"/>
        </w:tabs>
        <w:snapToGrid w:val="0"/>
        <w:spacing w:line="500" w:lineRule="exact"/>
        <w:ind w:firstLine="570"/>
        <w:rPr>
          <w:rFonts w:ascii="宋体" w:hAnsi="宋体" w:cs="宋体"/>
          <w:color w:val="auto"/>
          <w:highlight w:val="none"/>
        </w:rPr>
      </w:pPr>
    </w:p>
    <w:p w14:paraId="3225030F">
      <w:pPr>
        <w:snapToGri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31C311CE">
      <w:pPr>
        <w:tabs>
          <w:tab w:val="left" w:pos="6300"/>
        </w:tabs>
        <w:snapToGrid w:val="0"/>
        <w:spacing w:line="500" w:lineRule="exact"/>
        <w:ind w:firstLine="570"/>
        <w:rPr>
          <w:rFonts w:ascii="宋体" w:hAnsi="宋体" w:cs="宋体"/>
          <w:color w:val="auto"/>
          <w:sz w:val="24"/>
          <w:highlight w:val="none"/>
        </w:rPr>
      </w:pPr>
    </w:p>
    <w:p w14:paraId="4F6274A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41F8D961">
      <w:pPr>
        <w:tabs>
          <w:tab w:val="left" w:pos="6300"/>
        </w:tabs>
        <w:snapToGrid w:val="0"/>
        <w:spacing w:line="500" w:lineRule="exact"/>
        <w:ind w:firstLine="570"/>
        <w:rPr>
          <w:rFonts w:ascii="宋体" w:hAnsi="宋体" w:cs="宋体"/>
          <w:color w:val="auto"/>
          <w:sz w:val="24"/>
          <w:highlight w:val="none"/>
        </w:rPr>
      </w:pPr>
    </w:p>
    <w:p w14:paraId="2AE6DBE4">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FE812D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5EDCA14">
      <w:pPr>
        <w:tabs>
          <w:tab w:val="left" w:pos="6300"/>
        </w:tabs>
        <w:snapToGrid w:val="0"/>
        <w:spacing w:line="500" w:lineRule="exact"/>
        <w:ind w:firstLine="570"/>
        <w:rPr>
          <w:rFonts w:ascii="宋体" w:hAnsi="宋体" w:cs="宋体"/>
          <w:color w:val="auto"/>
          <w:sz w:val="24"/>
          <w:highlight w:val="none"/>
        </w:rPr>
      </w:pPr>
    </w:p>
    <w:p w14:paraId="61CA168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2C13D221">
      <w:pPr>
        <w:tabs>
          <w:tab w:val="left" w:pos="6300"/>
        </w:tabs>
        <w:snapToGrid w:val="0"/>
        <w:spacing w:line="500" w:lineRule="exact"/>
        <w:ind w:firstLine="570"/>
        <w:rPr>
          <w:rFonts w:ascii="宋体" w:hAnsi="宋体" w:cs="宋体"/>
          <w:color w:val="auto"/>
          <w:sz w:val="24"/>
          <w:highlight w:val="none"/>
        </w:rPr>
      </w:pPr>
    </w:p>
    <w:p w14:paraId="7C7F0BA4">
      <w:pPr>
        <w:tabs>
          <w:tab w:val="left" w:pos="6300"/>
        </w:tabs>
        <w:snapToGrid w:val="0"/>
        <w:spacing w:line="500" w:lineRule="exact"/>
        <w:ind w:firstLine="570"/>
        <w:rPr>
          <w:rFonts w:ascii="宋体" w:hAnsi="宋体" w:cs="宋体"/>
          <w:color w:val="auto"/>
          <w:sz w:val="24"/>
          <w:highlight w:val="none"/>
        </w:rPr>
      </w:pPr>
    </w:p>
    <w:p w14:paraId="57CC90CD">
      <w:pPr>
        <w:tabs>
          <w:tab w:val="left" w:pos="6300"/>
        </w:tabs>
        <w:snapToGrid w:val="0"/>
        <w:spacing w:line="500" w:lineRule="exact"/>
        <w:ind w:firstLine="570"/>
        <w:rPr>
          <w:rFonts w:ascii="宋体" w:hAnsi="宋体" w:cs="宋体"/>
          <w:color w:val="auto"/>
          <w:sz w:val="24"/>
          <w:highlight w:val="none"/>
        </w:rPr>
      </w:pPr>
    </w:p>
    <w:p w14:paraId="7F627B5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49C32FE1">
      <w:pPr>
        <w:tabs>
          <w:tab w:val="left" w:pos="6300"/>
        </w:tabs>
        <w:snapToGrid w:val="0"/>
        <w:spacing w:line="500" w:lineRule="exact"/>
        <w:ind w:firstLine="570"/>
        <w:rPr>
          <w:rFonts w:ascii="宋体" w:hAnsi="宋体" w:cs="宋体"/>
          <w:color w:val="auto"/>
          <w:sz w:val="24"/>
          <w:highlight w:val="none"/>
        </w:rPr>
      </w:pPr>
    </w:p>
    <w:p w14:paraId="23CEE70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6F2EE72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08D116D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18291B89">
      <w:pPr>
        <w:tabs>
          <w:tab w:val="left" w:pos="6300"/>
        </w:tabs>
        <w:snapToGrid w:val="0"/>
        <w:spacing w:line="500" w:lineRule="exact"/>
        <w:ind w:firstLine="570"/>
        <w:rPr>
          <w:rFonts w:ascii="宋体" w:hAnsi="宋体" w:cs="宋体"/>
          <w:color w:val="auto"/>
          <w:sz w:val="24"/>
          <w:highlight w:val="none"/>
        </w:rPr>
      </w:pPr>
    </w:p>
    <w:p w14:paraId="10CD52F1">
      <w:pPr>
        <w:tabs>
          <w:tab w:val="left" w:pos="6300"/>
        </w:tabs>
        <w:snapToGrid w:val="0"/>
        <w:spacing w:line="500" w:lineRule="exact"/>
        <w:ind w:firstLine="570"/>
        <w:rPr>
          <w:rFonts w:ascii="宋体" w:hAnsi="宋体" w:cs="宋体"/>
          <w:color w:val="auto"/>
          <w:sz w:val="24"/>
          <w:highlight w:val="none"/>
        </w:rPr>
      </w:pPr>
    </w:p>
    <w:p w14:paraId="1B9A8508">
      <w:pPr>
        <w:tabs>
          <w:tab w:val="left" w:pos="6300"/>
        </w:tabs>
        <w:snapToGrid w:val="0"/>
        <w:spacing w:line="500" w:lineRule="exact"/>
        <w:ind w:firstLine="570"/>
        <w:rPr>
          <w:rFonts w:ascii="宋体" w:hAnsi="宋体" w:cs="宋体"/>
          <w:color w:val="auto"/>
          <w:sz w:val="24"/>
          <w:highlight w:val="none"/>
        </w:rPr>
      </w:pPr>
    </w:p>
    <w:p w14:paraId="1A025829">
      <w:pPr>
        <w:tabs>
          <w:tab w:val="left" w:pos="6300"/>
        </w:tabs>
        <w:snapToGrid w:val="0"/>
        <w:spacing w:line="500" w:lineRule="exact"/>
        <w:ind w:firstLine="570"/>
        <w:rPr>
          <w:rFonts w:ascii="宋体" w:hAnsi="宋体" w:cs="宋体"/>
          <w:color w:val="auto"/>
          <w:sz w:val="24"/>
          <w:highlight w:val="none"/>
        </w:rPr>
      </w:pPr>
    </w:p>
    <w:p w14:paraId="5A4012F5">
      <w:pPr>
        <w:tabs>
          <w:tab w:val="left" w:pos="6300"/>
        </w:tabs>
        <w:snapToGrid w:val="0"/>
        <w:spacing w:line="500" w:lineRule="exact"/>
        <w:ind w:firstLine="570"/>
        <w:rPr>
          <w:rFonts w:ascii="宋体" w:hAnsi="宋体" w:cs="宋体"/>
          <w:color w:val="auto"/>
          <w:sz w:val="24"/>
          <w:highlight w:val="none"/>
        </w:rPr>
      </w:pPr>
    </w:p>
    <w:p w14:paraId="525AF39B">
      <w:pPr>
        <w:tabs>
          <w:tab w:val="left" w:pos="6300"/>
        </w:tabs>
        <w:snapToGrid w:val="0"/>
        <w:spacing w:line="500" w:lineRule="exact"/>
        <w:ind w:firstLine="570"/>
        <w:rPr>
          <w:rFonts w:ascii="宋体" w:hAnsi="宋体" w:cs="宋体"/>
          <w:color w:val="auto"/>
          <w:sz w:val="24"/>
          <w:highlight w:val="none"/>
        </w:rPr>
      </w:pPr>
    </w:p>
    <w:p w14:paraId="1747BFE0">
      <w:pPr>
        <w:snapToGri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42019C8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69AB1C1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F878919">
      <w:pPr>
        <w:tabs>
          <w:tab w:val="left" w:pos="6300"/>
        </w:tabs>
        <w:snapToGrid w:val="0"/>
        <w:spacing w:line="500" w:lineRule="exact"/>
        <w:ind w:firstLine="570"/>
        <w:rPr>
          <w:rFonts w:ascii="宋体" w:hAnsi="宋体" w:cs="宋体"/>
          <w:color w:val="auto"/>
          <w:sz w:val="24"/>
          <w:highlight w:val="none"/>
        </w:rPr>
      </w:pPr>
    </w:p>
    <w:p w14:paraId="64E77404">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1E37F65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407ED6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7EDFF7C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5F8C2B4E">
      <w:pPr>
        <w:tabs>
          <w:tab w:val="left" w:pos="6300"/>
        </w:tabs>
        <w:snapToGrid w:val="0"/>
        <w:spacing w:line="500" w:lineRule="exact"/>
        <w:ind w:firstLine="570"/>
        <w:rPr>
          <w:rFonts w:ascii="宋体" w:hAnsi="宋体" w:cs="宋体"/>
          <w:color w:val="auto"/>
          <w:sz w:val="24"/>
          <w:highlight w:val="none"/>
        </w:rPr>
      </w:pPr>
    </w:p>
    <w:p w14:paraId="4006832C">
      <w:pPr>
        <w:tabs>
          <w:tab w:val="left" w:pos="6300"/>
        </w:tabs>
        <w:snapToGrid w:val="0"/>
        <w:spacing w:line="500" w:lineRule="exact"/>
        <w:ind w:firstLine="570"/>
        <w:rPr>
          <w:rFonts w:ascii="宋体" w:hAnsi="宋体" w:cs="宋体"/>
          <w:color w:val="auto"/>
          <w:sz w:val="24"/>
          <w:highlight w:val="none"/>
        </w:rPr>
      </w:pPr>
    </w:p>
    <w:p w14:paraId="11F4226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61B12C4C">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1D1675CF">
      <w:pPr>
        <w:tabs>
          <w:tab w:val="left" w:pos="6300"/>
        </w:tabs>
        <w:snapToGrid w:val="0"/>
        <w:spacing w:line="500" w:lineRule="exact"/>
        <w:ind w:firstLine="570"/>
        <w:rPr>
          <w:rFonts w:ascii="宋体" w:hAnsi="宋体" w:cs="宋体"/>
          <w:color w:val="auto"/>
          <w:sz w:val="24"/>
          <w:szCs w:val="28"/>
          <w:highlight w:val="none"/>
        </w:rPr>
      </w:pPr>
    </w:p>
    <w:p w14:paraId="0CB3C5E4">
      <w:pPr>
        <w:tabs>
          <w:tab w:val="left" w:pos="6300"/>
        </w:tabs>
        <w:snapToGrid w:val="0"/>
        <w:spacing w:line="500" w:lineRule="exact"/>
        <w:ind w:firstLine="570"/>
        <w:rPr>
          <w:rFonts w:ascii="宋体" w:hAnsi="宋体" w:cs="宋体"/>
          <w:color w:val="auto"/>
          <w:sz w:val="24"/>
          <w:highlight w:val="none"/>
        </w:rPr>
      </w:pPr>
    </w:p>
    <w:p w14:paraId="1FDD4FF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224E1B1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405DB194">
      <w:pPr>
        <w:tabs>
          <w:tab w:val="left" w:pos="6300"/>
        </w:tabs>
        <w:snapToGrid w:val="0"/>
        <w:spacing w:line="500" w:lineRule="exact"/>
        <w:ind w:firstLine="570"/>
        <w:rPr>
          <w:rFonts w:ascii="宋体" w:hAnsi="宋体" w:cs="宋体"/>
          <w:color w:val="auto"/>
          <w:sz w:val="24"/>
          <w:highlight w:val="none"/>
        </w:rPr>
      </w:pPr>
    </w:p>
    <w:p w14:paraId="51FA3D4E">
      <w:pPr>
        <w:tabs>
          <w:tab w:val="left" w:pos="6300"/>
        </w:tabs>
        <w:snapToGrid w:val="0"/>
        <w:spacing w:line="500" w:lineRule="exact"/>
        <w:ind w:firstLine="570"/>
        <w:rPr>
          <w:rFonts w:ascii="宋体" w:hAnsi="宋体" w:cs="宋体"/>
          <w:color w:val="auto"/>
          <w:sz w:val="24"/>
          <w:highlight w:val="none"/>
        </w:rPr>
      </w:pPr>
    </w:p>
    <w:p w14:paraId="14B15B47">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185CBFC6">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05CB8A3D">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3FCA38FC">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3FBEB3D9">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29A7EC37">
      <w:pPr>
        <w:tabs>
          <w:tab w:val="left" w:pos="6300"/>
        </w:tabs>
        <w:snapToGrid w:val="0"/>
        <w:spacing w:line="500" w:lineRule="exact"/>
        <w:ind w:firstLine="570"/>
        <w:rPr>
          <w:rFonts w:ascii="宋体" w:hAnsi="宋体" w:cs="宋体"/>
          <w:color w:val="auto"/>
          <w:sz w:val="24"/>
          <w:highlight w:val="none"/>
        </w:rPr>
      </w:pPr>
    </w:p>
    <w:p w14:paraId="667B5CFA">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57008B8A">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0CA025B0">
      <w:pPr>
        <w:tabs>
          <w:tab w:val="left" w:pos="6300"/>
        </w:tabs>
        <w:snapToGrid w:val="0"/>
        <w:spacing w:line="530" w:lineRule="exact"/>
        <w:rPr>
          <w:rFonts w:ascii="宋体" w:hAnsi="宋体" w:cs="宋体"/>
          <w:color w:val="auto"/>
          <w:sz w:val="24"/>
          <w:highlight w:val="none"/>
        </w:rPr>
      </w:pPr>
    </w:p>
    <w:p w14:paraId="73C695C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4C1587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138493A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1185433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96C02B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、采购代理机构的检查验证，配合提供相关证明材料，证明符合《中华人民共和国政府采购法》规定的供应商基本资格条件。</w:t>
      </w:r>
    </w:p>
    <w:p w14:paraId="7CB7370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42DF2BF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6ECB4185">
      <w:pPr>
        <w:tabs>
          <w:tab w:val="left" w:pos="6300"/>
        </w:tabs>
        <w:snapToGrid w:val="0"/>
        <w:spacing w:line="500" w:lineRule="exact"/>
        <w:ind w:firstLine="480" w:firstLineChars="200"/>
        <w:rPr>
          <w:rFonts w:ascii="宋体" w:hAnsi="宋体" w:cs="宋体"/>
          <w:color w:val="auto"/>
          <w:sz w:val="24"/>
          <w:highlight w:val="none"/>
        </w:rPr>
      </w:pPr>
    </w:p>
    <w:p w14:paraId="7C95640C">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52359B93">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4433BE53">
      <w:pPr>
        <w:snapToGri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3A66D9C5">
      <w:pPr>
        <w:tabs>
          <w:tab w:val="left" w:pos="6300"/>
        </w:tabs>
        <w:snapToGrid w:val="0"/>
        <w:spacing w:line="400" w:lineRule="exact"/>
        <w:ind w:firstLine="480" w:firstLineChars="200"/>
        <w:rPr>
          <w:rFonts w:ascii="宋体" w:hAnsi="宋体" w:cs="宋体"/>
          <w:color w:val="auto"/>
          <w:sz w:val="24"/>
          <w:szCs w:val="24"/>
          <w:highlight w:val="none"/>
        </w:rPr>
      </w:pPr>
    </w:p>
    <w:p w14:paraId="69F85B0C">
      <w:pPr>
        <w:pStyle w:val="4"/>
        <w:adjustRightInd w:val="0"/>
        <w:snapToGrid w:val="0"/>
        <w:spacing w:before="0" w:after="0" w:line="400" w:lineRule="exact"/>
        <w:ind w:firstLine="560" w:firstLineChars="200"/>
        <w:rPr>
          <w:rFonts w:ascii="宋体" w:hAnsi="宋体" w:eastAsia="宋体" w:cs="宋体"/>
          <w:color w:val="auto"/>
          <w:sz w:val="24"/>
          <w:highlight w:val="none"/>
        </w:rPr>
      </w:pPr>
      <w:bookmarkStart w:id="291" w:name="_Toc14422"/>
      <w:r>
        <w:rPr>
          <w:rFonts w:hint="eastAsia" w:ascii="宋体" w:hAnsi="宋体" w:eastAsia="宋体" w:cs="宋体"/>
          <w:b w:val="0"/>
          <w:color w:val="auto"/>
          <w:sz w:val="28"/>
          <w:highlight w:val="none"/>
        </w:rPr>
        <w:br w:type="page"/>
      </w:r>
      <w:bookmarkStart w:id="292" w:name="_Toc106030910"/>
      <w:bookmarkStart w:id="293" w:name="_Toc29510"/>
      <w:bookmarkStart w:id="294" w:name="_Toc76462354"/>
      <w:bookmarkStart w:id="295" w:name="_Toc24045"/>
      <w:bookmarkStart w:id="296" w:name="_Toc19306"/>
      <w:bookmarkStart w:id="297" w:name="_Toc21669"/>
      <w:r>
        <w:rPr>
          <w:rFonts w:hint="eastAsia" w:ascii="宋体" w:hAnsi="宋体" w:eastAsia="宋体" w:cs="宋体"/>
          <w:color w:val="auto"/>
          <w:sz w:val="24"/>
          <w:highlight w:val="none"/>
        </w:rPr>
        <w:t>五、其他资料</w:t>
      </w:r>
      <w:bookmarkEnd w:id="291"/>
      <w:bookmarkEnd w:id="292"/>
      <w:bookmarkEnd w:id="293"/>
      <w:bookmarkEnd w:id="294"/>
      <w:bookmarkEnd w:id="295"/>
      <w:bookmarkEnd w:id="296"/>
      <w:bookmarkEnd w:id="297"/>
    </w:p>
    <w:p w14:paraId="0620B2E1">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23527B2C">
      <w:pPr>
        <w:tabs>
          <w:tab w:val="left" w:pos="6300"/>
        </w:tabs>
        <w:snapToGrid w:val="0"/>
        <w:spacing w:line="500" w:lineRule="exact"/>
        <w:ind w:firstLine="42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3AC2860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w:t>
      </w:r>
      <w:r>
        <w:rPr>
          <w:rFonts w:hint="eastAsia" w:ascii="宋体" w:hAnsi="宋体" w:cs="宋体"/>
          <w:i/>
          <w:color w:val="auto"/>
          <w:sz w:val="24"/>
          <w:szCs w:val="28"/>
          <w:highlight w:val="none"/>
          <w:u w:val="single"/>
          <w:lang w:eastAsia="zh-CN"/>
        </w:rPr>
        <w:t>采购人</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采购活动，服务全部由符合政策要求的中小企业承接。相关企业的具体情况如下：</w:t>
      </w:r>
    </w:p>
    <w:p w14:paraId="075D54AD">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7DC63988">
      <w:pPr>
        <w:tabs>
          <w:tab w:val="left" w:pos="6300"/>
        </w:tabs>
        <w:snapToGrid w:val="0"/>
        <w:spacing w:line="500" w:lineRule="exact"/>
        <w:ind w:firstLine="480" w:firstLineChars="200"/>
        <w:rPr>
          <w:rFonts w:hint="eastAsia" w:ascii="宋体" w:hAnsi="宋体" w:cs="宋体" w:eastAsiaTheme="minorEastAsia"/>
          <w:color w:val="auto"/>
          <w:sz w:val="24"/>
          <w:szCs w:val="28"/>
          <w:highlight w:val="none"/>
          <w:lang w:eastAsia="zh-CN"/>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w:t>
      </w:r>
      <w:r>
        <w:rPr>
          <w:rFonts w:hint="eastAsia" w:ascii="宋体" w:hAnsi="宋体" w:cs="宋体"/>
          <w:sz w:val="24"/>
          <w:szCs w:val="28"/>
          <w:lang w:eastAsia="zh-CN"/>
        </w:rPr>
        <w:t>。</w:t>
      </w:r>
    </w:p>
    <w:p w14:paraId="4BA17068">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66CD700D">
      <w:pPr>
        <w:tabs>
          <w:tab w:val="left" w:pos="6300"/>
        </w:tabs>
        <w:snapToGrid w:val="0"/>
        <w:spacing w:line="500" w:lineRule="exact"/>
        <w:ind w:firstLine="480" w:firstLineChars="200"/>
        <w:rPr>
          <w:rFonts w:hint="eastAsia" w:ascii="宋体" w:hAnsi="宋体" w:cs="宋体" w:eastAsiaTheme="minorEastAsia"/>
          <w:color w:val="auto"/>
          <w:sz w:val="24"/>
          <w:szCs w:val="28"/>
          <w:highlight w:val="none"/>
          <w:lang w:eastAsia="zh-CN"/>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w:t>
      </w:r>
      <w:r>
        <w:rPr>
          <w:rFonts w:hint="eastAsia" w:ascii="宋体" w:hAnsi="宋体" w:cs="宋体"/>
          <w:sz w:val="24"/>
          <w:szCs w:val="28"/>
          <w:lang w:eastAsia="zh-CN"/>
        </w:rPr>
        <w:t>。</w:t>
      </w:r>
    </w:p>
    <w:p w14:paraId="155CA6B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55C921C1">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0704F86A">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5192AE0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AB738BA">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0B666F3D">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0D6DEB39">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337083F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3ACADC4B">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04130609">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04DA0749">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030C4DE8">
      <w:pPr>
        <w:tabs>
          <w:tab w:val="left" w:pos="6300"/>
        </w:tabs>
        <w:snapToGrid w:val="0"/>
        <w:ind w:firstLine="420" w:firstLineChars="200"/>
        <w:rPr>
          <w:rFonts w:ascii="宋体" w:hAnsi="宋体" w:cs="宋体"/>
          <w:color w:val="auto"/>
          <w:kern w:val="0"/>
          <w:sz w:val="21"/>
          <w:szCs w:val="21"/>
          <w:highlight w:val="none"/>
        </w:rPr>
        <w:sectPr>
          <w:pgSz w:w="11907" w:h="16840"/>
          <w:pgMar w:top="1417" w:right="1417" w:bottom="1417" w:left="1417" w:header="851" w:footer="992" w:gutter="0"/>
          <w:pgNumType w:fmt="numberInDash"/>
          <w:cols w:space="0" w:num="1"/>
          <w:docGrid w:linePitch="380" w:charSpace="0"/>
        </w:sectPr>
      </w:pPr>
    </w:p>
    <w:p w14:paraId="0DFD36A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3E2D7FF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0E574B0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47F5A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F02989">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D239E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1E523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480E3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195BD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1CDE9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38DF6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8EDB0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58F3B0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CD83A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A400E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72B81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876C26">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CD11E4B">
      <w:pPr>
        <w:tabs>
          <w:tab w:val="left" w:pos="6300"/>
        </w:tabs>
        <w:snapToGrid w:val="0"/>
        <w:spacing w:line="360" w:lineRule="auto"/>
        <w:ind w:firstLine="570"/>
        <w:jc w:val="left"/>
        <w:rPr>
          <w:rFonts w:ascii="宋体" w:hAnsi="宋体" w:cs="宋体"/>
          <w:color w:val="auto"/>
          <w:sz w:val="24"/>
          <w:szCs w:val="24"/>
          <w:highlight w:val="none"/>
        </w:rPr>
      </w:pPr>
    </w:p>
    <w:p w14:paraId="483E381C">
      <w:pPr>
        <w:tabs>
          <w:tab w:val="left" w:pos="6300"/>
        </w:tabs>
        <w:snapToGrid w:val="0"/>
        <w:spacing w:line="360" w:lineRule="auto"/>
        <w:ind w:firstLine="570"/>
        <w:jc w:val="left"/>
        <w:rPr>
          <w:rFonts w:ascii="宋体" w:hAnsi="宋体" w:cs="宋体"/>
          <w:color w:val="auto"/>
          <w:sz w:val="24"/>
          <w:szCs w:val="24"/>
          <w:highlight w:val="none"/>
        </w:rPr>
      </w:pPr>
    </w:p>
    <w:p w14:paraId="08E9FEB6">
      <w:pPr>
        <w:tabs>
          <w:tab w:val="left" w:pos="6300"/>
        </w:tabs>
        <w:snapToGrid w:val="0"/>
        <w:spacing w:line="500" w:lineRule="exact"/>
        <w:ind w:firstLine="420" w:firstLineChars="200"/>
        <w:jc w:val="center"/>
        <w:rPr>
          <w:rFonts w:hint="eastAsia" w:ascii="宋体" w:hAnsi="宋体" w:cs="宋体"/>
          <w:color w:val="auto"/>
          <w:highlight w:val="none"/>
        </w:rPr>
        <w:sectPr>
          <w:pgSz w:w="11906" w:h="16838"/>
          <w:pgMar w:top="1440" w:right="1463" w:bottom="1440" w:left="1576" w:header="851" w:footer="992" w:gutter="0"/>
          <w:cols w:space="425" w:num="1"/>
          <w:docGrid w:type="lines" w:linePitch="312" w:charSpace="0"/>
        </w:sectPr>
      </w:pPr>
    </w:p>
    <w:p w14:paraId="2890BDDA">
      <w:pPr>
        <w:tabs>
          <w:tab w:val="left" w:pos="6300"/>
        </w:tabs>
        <w:snapToGrid w:val="0"/>
        <w:spacing w:line="500" w:lineRule="exact"/>
        <w:ind w:firstLine="562" w:firstLineChars="200"/>
        <w:jc w:val="center"/>
        <w:rPr>
          <w:rFonts w:ascii="宋体" w:hAnsi="宋体" w:cs="宋体"/>
          <w:color w:val="auto"/>
          <w:highlight w:val="none"/>
        </w:rPr>
      </w:pPr>
      <w:r>
        <w:rPr>
          <w:rFonts w:hint="eastAsia" w:ascii="宋体" w:hAnsi="宋体" w:cs="宋体"/>
          <w:b/>
          <w:bCs/>
          <w:color w:val="auto"/>
          <w:sz w:val="28"/>
          <w:szCs w:val="28"/>
          <w:highlight w:val="none"/>
        </w:rPr>
        <w:t>监狱企业证明文件</w:t>
      </w:r>
    </w:p>
    <w:p w14:paraId="2173E283">
      <w:pPr>
        <w:tabs>
          <w:tab w:val="left" w:pos="6300"/>
        </w:tabs>
        <w:snapToGrid w:val="0"/>
        <w:spacing w:line="400" w:lineRule="exact"/>
        <w:ind w:firstLine="480" w:firstLineChars="200"/>
        <w:rPr>
          <w:rFonts w:hint="eastAsia" w:ascii="宋体" w:hAnsi="宋体" w:cs="宋体"/>
          <w:color w:val="auto"/>
          <w:sz w:val="24"/>
          <w:highlight w:val="none"/>
        </w:rPr>
      </w:pPr>
    </w:p>
    <w:p w14:paraId="01C26C35">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73E96FE6">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残疾人福利性单位声明函</w:t>
      </w:r>
    </w:p>
    <w:p w14:paraId="395BA36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9F564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615947A">
      <w:pPr>
        <w:tabs>
          <w:tab w:val="left" w:pos="6300"/>
        </w:tabs>
        <w:snapToGrid w:val="0"/>
        <w:spacing w:line="500" w:lineRule="exact"/>
        <w:ind w:firstLine="480" w:firstLineChars="200"/>
        <w:rPr>
          <w:rFonts w:ascii="宋体" w:hAnsi="宋体" w:cs="宋体"/>
          <w:color w:val="auto"/>
          <w:sz w:val="24"/>
          <w:highlight w:val="none"/>
        </w:rPr>
      </w:pPr>
    </w:p>
    <w:p w14:paraId="172CA1F9">
      <w:pPr>
        <w:tabs>
          <w:tab w:val="left" w:pos="6300"/>
        </w:tabs>
        <w:snapToGrid w:val="0"/>
        <w:spacing w:line="500" w:lineRule="exact"/>
        <w:ind w:firstLine="480" w:firstLineChars="200"/>
        <w:rPr>
          <w:rFonts w:ascii="宋体" w:hAnsi="宋体" w:cs="宋体"/>
          <w:color w:val="auto"/>
          <w:sz w:val="24"/>
          <w:highlight w:val="none"/>
        </w:rPr>
      </w:pPr>
    </w:p>
    <w:p w14:paraId="4163790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2ACA9FB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40642C61">
      <w:pPr>
        <w:snapToGrid w:val="0"/>
        <w:spacing w:line="440" w:lineRule="exact"/>
        <w:ind w:firstLine="480" w:firstLineChars="200"/>
        <w:rPr>
          <w:rFonts w:ascii="宋体" w:hAnsi="宋体" w:cs="宋体"/>
          <w:color w:val="auto"/>
          <w:sz w:val="24"/>
          <w:highlight w:val="none"/>
        </w:rPr>
      </w:pPr>
    </w:p>
    <w:p w14:paraId="3ADF2330">
      <w:pPr>
        <w:snapToGrid w:val="0"/>
        <w:spacing w:line="440" w:lineRule="exact"/>
        <w:ind w:firstLine="480" w:firstLineChars="200"/>
        <w:rPr>
          <w:rFonts w:ascii="宋体" w:hAnsi="宋体" w:cs="宋体"/>
          <w:color w:val="auto"/>
          <w:sz w:val="24"/>
          <w:highlight w:val="none"/>
        </w:rPr>
      </w:pPr>
    </w:p>
    <w:p w14:paraId="60759913">
      <w:pPr>
        <w:snapToGrid w:val="0"/>
        <w:spacing w:line="440" w:lineRule="exact"/>
        <w:ind w:firstLine="480" w:firstLineChars="200"/>
        <w:rPr>
          <w:rFonts w:ascii="宋体" w:hAnsi="宋体" w:cs="宋体"/>
          <w:color w:val="auto"/>
          <w:sz w:val="24"/>
          <w:highlight w:val="none"/>
        </w:rPr>
      </w:pPr>
    </w:p>
    <w:p w14:paraId="495D08CD">
      <w:pPr>
        <w:snapToGrid w:val="0"/>
        <w:spacing w:line="440" w:lineRule="exact"/>
        <w:ind w:firstLine="480" w:firstLineChars="200"/>
        <w:rPr>
          <w:rFonts w:ascii="宋体" w:hAnsi="宋体" w:cs="宋体"/>
          <w:color w:val="auto"/>
          <w:sz w:val="24"/>
          <w:highlight w:val="none"/>
        </w:rPr>
      </w:pPr>
    </w:p>
    <w:p w14:paraId="2C09250A">
      <w:pPr>
        <w:snapToGrid w:val="0"/>
        <w:spacing w:line="440" w:lineRule="exact"/>
        <w:ind w:firstLine="480" w:firstLineChars="200"/>
        <w:rPr>
          <w:rFonts w:ascii="宋体" w:hAnsi="宋体" w:cs="宋体"/>
          <w:color w:val="auto"/>
          <w:sz w:val="24"/>
          <w:highlight w:val="none"/>
        </w:rPr>
      </w:pPr>
    </w:p>
    <w:p w14:paraId="284D00D4">
      <w:pPr>
        <w:snapToGrid w:val="0"/>
        <w:spacing w:line="440" w:lineRule="exact"/>
        <w:ind w:firstLine="480" w:firstLineChars="200"/>
        <w:rPr>
          <w:rFonts w:ascii="宋体" w:hAnsi="宋体" w:cs="宋体"/>
          <w:color w:val="auto"/>
          <w:sz w:val="24"/>
          <w:highlight w:val="none"/>
        </w:rPr>
      </w:pPr>
    </w:p>
    <w:p w14:paraId="3297F8A9">
      <w:pPr>
        <w:snapToGrid w:val="0"/>
        <w:spacing w:line="440" w:lineRule="exact"/>
        <w:ind w:firstLine="480" w:firstLineChars="200"/>
        <w:rPr>
          <w:rFonts w:ascii="宋体" w:hAnsi="宋体" w:cs="宋体"/>
          <w:color w:val="auto"/>
          <w:sz w:val="24"/>
          <w:highlight w:val="none"/>
        </w:rPr>
      </w:pPr>
    </w:p>
    <w:p w14:paraId="275B498A">
      <w:pPr>
        <w:snapToGrid w:val="0"/>
        <w:spacing w:line="440" w:lineRule="exact"/>
        <w:ind w:firstLine="480" w:firstLineChars="200"/>
        <w:rPr>
          <w:rFonts w:ascii="宋体" w:hAnsi="宋体" w:cs="宋体"/>
          <w:color w:val="auto"/>
          <w:sz w:val="24"/>
          <w:highlight w:val="none"/>
        </w:rPr>
      </w:pPr>
    </w:p>
    <w:p w14:paraId="10A945AD">
      <w:pPr>
        <w:snapToGrid w:val="0"/>
        <w:spacing w:line="440" w:lineRule="exact"/>
        <w:ind w:firstLine="480" w:firstLineChars="200"/>
        <w:rPr>
          <w:rFonts w:ascii="宋体" w:hAnsi="宋体" w:cs="宋体"/>
          <w:color w:val="auto"/>
          <w:sz w:val="24"/>
          <w:highlight w:val="none"/>
        </w:rPr>
      </w:pPr>
    </w:p>
    <w:p w14:paraId="402DB975">
      <w:pPr>
        <w:snapToGrid w:val="0"/>
        <w:spacing w:line="440" w:lineRule="exact"/>
        <w:ind w:firstLine="480" w:firstLineChars="200"/>
        <w:rPr>
          <w:rFonts w:ascii="宋体" w:hAnsi="宋体" w:cs="宋体"/>
          <w:color w:val="auto"/>
          <w:sz w:val="24"/>
          <w:highlight w:val="none"/>
        </w:rPr>
      </w:pPr>
    </w:p>
    <w:p w14:paraId="6C086C32">
      <w:pPr>
        <w:snapToGrid w:val="0"/>
        <w:spacing w:line="440" w:lineRule="exact"/>
        <w:ind w:firstLine="480" w:firstLineChars="200"/>
        <w:rPr>
          <w:rFonts w:ascii="宋体" w:hAnsi="宋体" w:cs="宋体"/>
          <w:color w:val="auto"/>
          <w:sz w:val="24"/>
          <w:highlight w:val="none"/>
        </w:rPr>
      </w:pPr>
    </w:p>
    <w:p w14:paraId="56177FBF">
      <w:pPr>
        <w:snapToGrid w:val="0"/>
        <w:spacing w:line="440" w:lineRule="exact"/>
        <w:ind w:firstLine="480" w:firstLineChars="200"/>
        <w:rPr>
          <w:rFonts w:ascii="宋体" w:hAnsi="宋体" w:cs="宋体"/>
          <w:color w:val="auto"/>
          <w:sz w:val="24"/>
          <w:highlight w:val="none"/>
        </w:rPr>
      </w:pPr>
    </w:p>
    <w:p w14:paraId="56AF406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04A011B2">
      <w:pPr>
        <w:snapToGrid w:val="0"/>
        <w:spacing w:line="440" w:lineRule="exact"/>
        <w:ind w:firstLine="480" w:firstLineChars="200"/>
        <w:rPr>
          <w:rFonts w:ascii="宋体" w:hAnsi="宋体" w:cs="宋体"/>
          <w:color w:val="auto"/>
          <w:sz w:val="24"/>
          <w:highlight w:val="none"/>
        </w:rPr>
      </w:pPr>
    </w:p>
    <w:p w14:paraId="2496B1A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15AAFD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17A5F444">
      <w:pPr>
        <w:spacing w:line="360" w:lineRule="auto"/>
        <w:ind w:firstLine="480" w:firstLineChars="200"/>
        <w:rPr>
          <w:rFonts w:ascii="宋体" w:hAnsi="宋体" w:cs="宋体"/>
          <w:color w:val="auto"/>
          <w:sz w:val="24"/>
          <w:szCs w:val="24"/>
          <w:highlight w:val="none"/>
        </w:rPr>
      </w:pPr>
    </w:p>
    <w:p w14:paraId="41C73DCE">
      <w:pPr>
        <w:spacing w:line="360" w:lineRule="auto"/>
        <w:ind w:firstLine="480" w:firstLineChars="200"/>
        <w:jc w:val="center"/>
        <w:rPr>
          <w:rFonts w:ascii="宋体" w:hAnsi="宋体" w:cs="宋体"/>
          <w:color w:val="auto"/>
          <w:sz w:val="24"/>
          <w:szCs w:val="24"/>
          <w:highlight w:val="none"/>
        </w:rPr>
      </w:pPr>
    </w:p>
    <w:p w14:paraId="42F12D39">
      <w:pPr>
        <w:spacing w:line="360" w:lineRule="auto"/>
        <w:ind w:firstLine="480" w:firstLineChars="200"/>
        <w:jc w:val="center"/>
        <w:rPr>
          <w:rFonts w:ascii="宋体" w:hAnsi="宋体" w:cs="宋体"/>
          <w:color w:val="auto"/>
          <w:sz w:val="24"/>
          <w:szCs w:val="24"/>
          <w:highlight w:val="none"/>
        </w:rPr>
      </w:pPr>
    </w:p>
    <w:p w14:paraId="3D1CC5CA">
      <w:pPr>
        <w:spacing w:line="360" w:lineRule="auto"/>
        <w:ind w:firstLine="480" w:firstLineChars="200"/>
        <w:jc w:val="center"/>
        <w:rPr>
          <w:rFonts w:ascii="宋体" w:hAnsi="宋体" w:cs="宋体"/>
          <w:color w:val="auto"/>
          <w:sz w:val="24"/>
          <w:szCs w:val="24"/>
          <w:highlight w:val="none"/>
        </w:rPr>
      </w:pPr>
    </w:p>
    <w:p w14:paraId="385E6E06">
      <w:pPr>
        <w:spacing w:line="360" w:lineRule="auto"/>
        <w:ind w:firstLine="480" w:firstLineChars="200"/>
        <w:jc w:val="center"/>
        <w:rPr>
          <w:rFonts w:ascii="宋体" w:hAnsi="宋体" w:cs="宋体"/>
          <w:color w:val="auto"/>
          <w:sz w:val="24"/>
          <w:szCs w:val="24"/>
          <w:highlight w:val="none"/>
        </w:rPr>
      </w:pPr>
    </w:p>
    <w:p w14:paraId="4EB22F25">
      <w:pPr>
        <w:spacing w:line="360" w:lineRule="auto"/>
        <w:ind w:firstLine="480" w:firstLineChars="200"/>
        <w:jc w:val="center"/>
        <w:rPr>
          <w:rFonts w:ascii="宋体" w:hAnsi="宋体" w:cs="宋体"/>
          <w:color w:val="auto"/>
          <w:sz w:val="24"/>
          <w:szCs w:val="24"/>
          <w:highlight w:val="none"/>
        </w:rPr>
      </w:pPr>
    </w:p>
    <w:p w14:paraId="4785D078">
      <w:pPr>
        <w:spacing w:line="360" w:lineRule="auto"/>
        <w:ind w:firstLine="480" w:firstLineChars="200"/>
        <w:jc w:val="center"/>
        <w:rPr>
          <w:rFonts w:ascii="宋体" w:hAnsi="宋体" w:cs="宋体"/>
          <w:color w:val="auto"/>
          <w:sz w:val="24"/>
          <w:szCs w:val="24"/>
          <w:highlight w:val="none"/>
        </w:rPr>
      </w:pPr>
    </w:p>
    <w:p w14:paraId="78086594">
      <w:pPr>
        <w:spacing w:line="360" w:lineRule="auto"/>
        <w:ind w:firstLine="480" w:firstLineChars="200"/>
        <w:jc w:val="center"/>
        <w:rPr>
          <w:rFonts w:ascii="宋体" w:hAnsi="宋体" w:cs="宋体"/>
          <w:color w:val="auto"/>
          <w:sz w:val="24"/>
          <w:szCs w:val="24"/>
          <w:highlight w:val="none"/>
        </w:rPr>
      </w:pPr>
    </w:p>
    <w:p w14:paraId="0C937EC1">
      <w:pPr>
        <w:spacing w:line="360" w:lineRule="auto"/>
        <w:ind w:firstLine="480" w:firstLineChars="200"/>
        <w:jc w:val="center"/>
        <w:rPr>
          <w:rFonts w:ascii="宋体" w:hAnsi="宋体" w:cs="宋体"/>
          <w:color w:val="auto"/>
          <w:sz w:val="24"/>
          <w:szCs w:val="24"/>
          <w:highlight w:val="none"/>
        </w:rPr>
      </w:pPr>
    </w:p>
    <w:p w14:paraId="08A74B61">
      <w:pPr>
        <w:spacing w:line="360" w:lineRule="auto"/>
        <w:ind w:firstLine="480" w:firstLineChars="200"/>
        <w:jc w:val="center"/>
        <w:rPr>
          <w:rFonts w:ascii="宋体" w:hAnsi="宋体" w:cs="宋体"/>
          <w:color w:val="auto"/>
          <w:sz w:val="24"/>
          <w:szCs w:val="24"/>
          <w:highlight w:val="none"/>
        </w:rPr>
      </w:pPr>
    </w:p>
    <w:p w14:paraId="0E5917CF">
      <w:pPr>
        <w:spacing w:line="360" w:lineRule="auto"/>
        <w:ind w:firstLine="480" w:firstLineChars="200"/>
        <w:jc w:val="center"/>
        <w:rPr>
          <w:rFonts w:ascii="宋体" w:hAnsi="宋体" w:cs="宋体"/>
          <w:color w:val="auto"/>
          <w:sz w:val="24"/>
          <w:szCs w:val="24"/>
          <w:highlight w:val="none"/>
        </w:rPr>
      </w:pPr>
    </w:p>
    <w:p w14:paraId="4DFB4EB2">
      <w:pPr>
        <w:spacing w:line="360" w:lineRule="auto"/>
        <w:ind w:firstLine="480" w:firstLineChars="200"/>
        <w:jc w:val="center"/>
        <w:rPr>
          <w:rFonts w:ascii="宋体" w:hAnsi="宋体" w:cs="宋体"/>
          <w:color w:val="auto"/>
          <w:sz w:val="24"/>
          <w:szCs w:val="24"/>
          <w:highlight w:val="none"/>
        </w:rPr>
      </w:pPr>
    </w:p>
    <w:p w14:paraId="2B987C0E">
      <w:pPr>
        <w:spacing w:line="360" w:lineRule="auto"/>
        <w:ind w:firstLine="480" w:firstLineChars="200"/>
        <w:jc w:val="center"/>
        <w:outlineLvl w:val="0"/>
        <w:rPr>
          <w:rFonts w:ascii="宋体" w:hAnsi="宋体" w:cs="宋体"/>
          <w:color w:val="auto"/>
          <w:highlight w:val="none"/>
        </w:rPr>
      </w:pPr>
      <w:r>
        <w:rPr>
          <w:rFonts w:hint="eastAsia" w:ascii="宋体" w:hAnsi="宋体" w:cs="宋体"/>
          <w:color w:val="auto"/>
          <w:sz w:val="24"/>
          <w:szCs w:val="24"/>
          <w:highlight w:val="none"/>
        </w:rPr>
        <w:t>（结束）</w:t>
      </w:r>
    </w:p>
    <w:p w14:paraId="32D83849">
      <w:pPr>
        <w:tabs>
          <w:tab w:val="left" w:pos="6300"/>
        </w:tabs>
        <w:snapToGrid w:val="0"/>
        <w:spacing w:line="500" w:lineRule="exact"/>
        <w:ind w:firstLine="4560" w:firstLineChars="1900"/>
        <w:rPr>
          <w:rFonts w:ascii="宋体" w:hAnsi="宋体" w:cs="宋体"/>
          <w:color w:val="auto"/>
          <w:sz w:val="24"/>
          <w:szCs w:val="24"/>
          <w:highlight w:val="none"/>
        </w:rPr>
      </w:pPr>
    </w:p>
    <w:p w14:paraId="636912FD">
      <w:pPr>
        <w:rPr>
          <w:rFonts w:ascii="宋体" w:hAnsi="宋体" w:cs="宋体"/>
          <w:color w:val="auto"/>
          <w:highlight w:val="none"/>
        </w:rPr>
      </w:pPr>
    </w:p>
    <w:p w14:paraId="40BCC930">
      <w:pPr>
        <w:pageBreakBefore w:val="0"/>
        <w:widowControl w:val="0"/>
        <w:kinsoku/>
        <w:wordWrap/>
        <w:overflowPunct/>
        <w:topLinePunct w:val="0"/>
        <w:autoSpaceDE/>
        <w:autoSpaceDN/>
        <w:bidi w:val="0"/>
        <w:snapToGrid w:val="0"/>
        <w:spacing w:line="500" w:lineRule="exact"/>
        <w:textAlignment w:val="auto"/>
        <w:rPr>
          <w:rFonts w:hint="default" w:ascii="宋体" w:hAnsi="宋体" w:eastAsia="宋体" w:cs="宋体"/>
          <w:color w:val="auto"/>
          <w:sz w:val="24"/>
          <w:szCs w:val="24"/>
          <w:lang w:val="en-US" w:eastAsia="zh-CN"/>
        </w:rPr>
      </w:pP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F779">
    <w:pPr>
      <w:pStyle w:val="12"/>
      <w:framePr w:wrap="around" w:vAnchor="text" w:hAnchor="margin" w:xAlign="center" w:y="1"/>
      <w:rPr>
        <w:rStyle w:val="20"/>
      </w:rPr>
    </w:pPr>
    <w:r>
      <w:fldChar w:fldCharType="begin"/>
    </w:r>
    <w:r>
      <w:rPr>
        <w:rStyle w:val="20"/>
      </w:rPr>
      <w:instrText xml:space="preserve">PAGE  </w:instrText>
    </w:r>
    <w:r>
      <w:fldChar w:fldCharType="end"/>
    </w:r>
  </w:p>
  <w:p w14:paraId="4F7C052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F3B1">
    <w:pPr>
      <w:pStyle w:val="12"/>
      <w:framePr w:wrap="around" w:vAnchor="text" w:hAnchor="margin" w:xAlign="center" w:y="1"/>
      <w:rPr>
        <w:rStyle w:val="20"/>
      </w:rPr>
    </w:pPr>
  </w:p>
  <w:p w14:paraId="5D614D9C">
    <w:pPr>
      <w:pStyle w:val="1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BF0A">
    <w:pPr>
      <w:pStyle w:val="12"/>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469E0">
                          <w:pPr>
                            <w:pStyle w:val="12"/>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7D469E0">
                    <w:pPr>
                      <w:pStyle w:val="12"/>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8F2A">
    <w:pPr>
      <w:pStyle w:val="12"/>
      <w:framePr w:wrap="around" w:vAnchor="text" w:hAnchor="margin" w:xAlign="center" w:y="1"/>
      <w:rPr>
        <w:rStyle w:val="20"/>
      </w:rPr>
    </w:pPr>
    <w:r>
      <w:fldChar w:fldCharType="begin"/>
    </w:r>
    <w:r>
      <w:rPr>
        <w:rStyle w:val="20"/>
      </w:rPr>
      <w:instrText xml:space="preserve">PAGE  </w:instrText>
    </w:r>
    <w:r>
      <w:fldChar w:fldCharType="end"/>
    </w:r>
  </w:p>
  <w:p w14:paraId="42E4A5F0">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25D4">
    <w:pPr>
      <w:pStyle w:val="12"/>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BA5A5">
                          <w:pPr>
                            <w:pStyle w:val="12"/>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94BA5A5">
                    <w:pPr>
                      <w:pStyle w:val="12"/>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9FBA">
    <w:pPr>
      <w:pStyle w:val="12"/>
      <w:framePr w:wrap="around" w:vAnchor="text" w:hAnchor="margin" w:xAlign="center" w:y="1"/>
      <w:rPr>
        <w:rStyle w:val="20"/>
      </w:rPr>
    </w:pPr>
    <w:r>
      <w:fldChar w:fldCharType="begin"/>
    </w:r>
    <w:r>
      <w:rPr>
        <w:rStyle w:val="20"/>
      </w:rPr>
      <w:instrText xml:space="preserve">PAGE  </w:instrText>
    </w:r>
    <w:r>
      <w:fldChar w:fldCharType="end"/>
    </w:r>
  </w:p>
  <w:p w14:paraId="1E066BAB">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306C">
    <w:pPr>
      <w:pStyle w:val="13"/>
      <w:jc w:val="both"/>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攀钢集团工科工程咨询有限公司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236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33EDA"/>
    <w:multiLevelType w:val="multilevel"/>
    <w:tmpl w:val="BE033EDA"/>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6"/>
      <w:isLgl/>
      <w:lvlText w:val="%1.%2.%3.%4."/>
      <w:lvlJc w:val="left"/>
      <w:pPr>
        <w:ind w:left="149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7F15123"/>
    <w:multiLevelType w:val="singleLevel"/>
    <w:tmpl w:val="F7F15123"/>
    <w:lvl w:ilvl="0" w:tentative="0">
      <w:start w:val="1"/>
      <w:numFmt w:val="chineseCounting"/>
      <w:suff w:val="nothing"/>
      <w:lvlText w:val="（%1）"/>
      <w:lvlJc w:val="left"/>
      <w:rPr>
        <w:rFonts w:hint="eastAsia"/>
      </w:rPr>
    </w:lvl>
  </w:abstractNum>
  <w:abstractNum w:abstractNumId="2">
    <w:nsid w:val="FB593904"/>
    <w:multiLevelType w:val="singleLevel"/>
    <w:tmpl w:val="FB593904"/>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604A9"/>
    <w:rsid w:val="02B97306"/>
    <w:rsid w:val="02D731C5"/>
    <w:rsid w:val="03AC1AEC"/>
    <w:rsid w:val="043C3A50"/>
    <w:rsid w:val="062C27E6"/>
    <w:rsid w:val="063F3750"/>
    <w:rsid w:val="06704A84"/>
    <w:rsid w:val="081E2961"/>
    <w:rsid w:val="08210B17"/>
    <w:rsid w:val="09623EF2"/>
    <w:rsid w:val="0ADF252B"/>
    <w:rsid w:val="0CA86D2C"/>
    <w:rsid w:val="0E3B40E5"/>
    <w:rsid w:val="0F434B9B"/>
    <w:rsid w:val="10FB0921"/>
    <w:rsid w:val="1299596E"/>
    <w:rsid w:val="13490E13"/>
    <w:rsid w:val="13EA2665"/>
    <w:rsid w:val="13EB79AD"/>
    <w:rsid w:val="15B912F9"/>
    <w:rsid w:val="16373B88"/>
    <w:rsid w:val="168E1562"/>
    <w:rsid w:val="17DD07F3"/>
    <w:rsid w:val="17FCE291"/>
    <w:rsid w:val="18BC58C8"/>
    <w:rsid w:val="1AFEB76A"/>
    <w:rsid w:val="1B272DFF"/>
    <w:rsid w:val="1BA95C48"/>
    <w:rsid w:val="1D6152DA"/>
    <w:rsid w:val="1EF52281"/>
    <w:rsid w:val="1F7A4B56"/>
    <w:rsid w:val="1FBE80D5"/>
    <w:rsid w:val="1FC85FB0"/>
    <w:rsid w:val="201A2537"/>
    <w:rsid w:val="21091209"/>
    <w:rsid w:val="24812305"/>
    <w:rsid w:val="25805811"/>
    <w:rsid w:val="29041583"/>
    <w:rsid w:val="290D45D8"/>
    <w:rsid w:val="2A8904DD"/>
    <w:rsid w:val="2B22031C"/>
    <w:rsid w:val="2D1FC9DF"/>
    <w:rsid w:val="2EA119F7"/>
    <w:rsid w:val="2ED11F1A"/>
    <w:rsid w:val="2F4D4DB3"/>
    <w:rsid w:val="2FF98B7F"/>
    <w:rsid w:val="345A2591"/>
    <w:rsid w:val="346B6210"/>
    <w:rsid w:val="365E1B40"/>
    <w:rsid w:val="36F7C4C1"/>
    <w:rsid w:val="37EC48E8"/>
    <w:rsid w:val="393F1F4E"/>
    <w:rsid w:val="39A4507A"/>
    <w:rsid w:val="39F630C5"/>
    <w:rsid w:val="3A980263"/>
    <w:rsid w:val="3C3D3B62"/>
    <w:rsid w:val="3D6C3AFB"/>
    <w:rsid w:val="3D6F51D8"/>
    <w:rsid w:val="3DF50CB0"/>
    <w:rsid w:val="3EE939DC"/>
    <w:rsid w:val="3EEE30CB"/>
    <w:rsid w:val="3F7F469E"/>
    <w:rsid w:val="408A4171"/>
    <w:rsid w:val="421871BB"/>
    <w:rsid w:val="44293363"/>
    <w:rsid w:val="4642189D"/>
    <w:rsid w:val="47E65112"/>
    <w:rsid w:val="4823534F"/>
    <w:rsid w:val="4C5A1512"/>
    <w:rsid w:val="4DB07082"/>
    <w:rsid w:val="4DB35E08"/>
    <w:rsid w:val="4EF763FE"/>
    <w:rsid w:val="4F5D212A"/>
    <w:rsid w:val="4F6129E4"/>
    <w:rsid w:val="4FC000E6"/>
    <w:rsid w:val="4FFF99C1"/>
    <w:rsid w:val="500FF179"/>
    <w:rsid w:val="538F23A6"/>
    <w:rsid w:val="53FF8333"/>
    <w:rsid w:val="55141C52"/>
    <w:rsid w:val="57297B92"/>
    <w:rsid w:val="59903300"/>
    <w:rsid w:val="5AFEB3FA"/>
    <w:rsid w:val="5BAECEE1"/>
    <w:rsid w:val="5D207CD9"/>
    <w:rsid w:val="5E9D09BA"/>
    <w:rsid w:val="5F1FBCA8"/>
    <w:rsid w:val="5FBE9F5B"/>
    <w:rsid w:val="5FBF1F35"/>
    <w:rsid w:val="5FEBE25B"/>
    <w:rsid w:val="60CECD1A"/>
    <w:rsid w:val="611C17E3"/>
    <w:rsid w:val="63220C33"/>
    <w:rsid w:val="63281039"/>
    <w:rsid w:val="632927BC"/>
    <w:rsid w:val="635A0E92"/>
    <w:rsid w:val="63845454"/>
    <w:rsid w:val="65CF362C"/>
    <w:rsid w:val="669C44B1"/>
    <w:rsid w:val="66A504F5"/>
    <w:rsid w:val="66FDCEB8"/>
    <w:rsid w:val="68E1201D"/>
    <w:rsid w:val="69365903"/>
    <w:rsid w:val="696F6090"/>
    <w:rsid w:val="69D736B4"/>
    <w:rsid w:val="6A655190"/>
    <w:rsid w:val="6BFB3534"/>
    <w:rsid w:val="6BFB400E"/>
    <w:rsid w:val="6C496EB7"/>
    <w:rsid w:val="6D727570"/>
    <w:rsid w:val="6E670045"/>
    <w:rsid w:val="6EF7A814"/>
    <w:rsid w:val="6F193452"/>
    <w:rsid w:val="6F3D54BC"/>
    <w:rsid w:val="6F566948"/>
    <w:rsid w:val="6F7FEFEF"/>
    <w:rsid w:val="6F9D29DC"/>
    <w:rsid w:val="6FCE5372"/>
    <w:rsid w:val="70D43728"/>
    <w:rsid w:val="716F835C"/>
    <w:rsid w:val="72DE424A"/>
    <w:rsid w:val="7312785A"/>
    <w:rsid w:val="736F8A75"/>
    <w:rsid w:val="73E65030"/>
    <w:rsid w:val="742E34AA"/>
    <w:rsid w:val="75A40753"/>
    <w:rsid w:val="76F92F9F"/>
    <w:rsid w:val="7777D2CD"/>
    <w:rsid w:val="777ED994"/>
    <w:rsid w:val="77EF5D28"/>
    <w:rsid w:val="77FD3924"/>
    <w:rsid w:val="77FF4F3F"/>
    <w:rsid w:val="787F6299"/>
    <w:rsid w:val="78B53705"/>
    <w:rsid w:val="78D7E9B9"/>
    <w:rsid w:val="79FC7CA3"/>
    <w:rsid w:val="7AC5AB9C"/>
    <w:rsid w:val="7B7AEB98"/>
    <w:rsid w:val="7BE17025"/>
    <w:rsid w:val="7C925E9A"/>
    <w:rsid w:val="7CE92338"/>
    <w:rsid w:val="7D732FB1"/>
    <w:rsid w:val="7D96DF93"/>
    <w:rsid w:val="7D972197"/>
    <w:rsid w:val="7DA86E47"/>
    <w:rsid w:val="7DBFE95B"/>
    <w:rsid w:val="7DEDEE92"/>
    <w:rsid w:val="7DF6E6CB"/>
    <w:rsid w:val="7E7F592E"/>
    <w:rsid w:val="7EDE11F1"/>
    <w:rsid w:val="7F3FF70B"/>
    <w:rsid w:val="7F750A58"/>
    <w:rsid w:val="7F8C5987"/>
    <w:rsid w:val="7FDF9B94"/>
    <w:rsid w:val="7FE10469"/>
    <w:rsid w:val="7FF760D1"/>
    <w:rsid w:val="7FFA1E45"/>
    <w:rsid w:val="7FFF11F3"/>
    <w:rsid w:val="7FFF54E4"/>
    <w:rsid w:val="7FFFDDB9"/>
    <w:rsid w:val="836DF487"/>
    <w:rsid w:val="85FD6E87"/>
    <w:rsid w:val="9D7FAE47"/>
    <w:rsid w:val="9DB0BE64"/>
    <w:rsid w:val="9DD18CBD"/>
    <w:rsid w:val="9FA786F9"/>
    <w:rsid w:val="A7FB6FF7"/>
    <w:rsid w:val="ACFF0BEB"/>
    <w:rsid w:val="AFF79707"/>
    <w:rsid w:val="B59F00D4"/>
    <w:rsid w:val="B6FA0808"/>
    <w:rsid w:val="BD3B85E9"/>
    <w:rsid w:val="BDF30A6B"/>
    <w:rsid w:val="BDFB881F"/>
    <w:rsid w:val="BED3308A"/>
    <w:rsid w:val="BF7F5BDD"/>
    <w:rsid w:val="BFEB916E"/>
    <w:rsid w:val="CBF5B1B3"/>
    <w:rsid w:val="CE7DDED7"/>
    <w:rsid w:val="CEEFE2C8"/>
    <w:rsid w:val="D7FFBFA4"/>
    <w:rsid w:val="DE1FEC69"/>
    <w:rsid w:val="DE7B7A40"/>
    <w:rsid w:val="DEEB1A11"/>
    <w:rsid w:val="DFBF95DD"/>
    <w:rsid w:val="DFF95B8C"/>
    <w:rsid w:val="EBB90100"/>
    <w:rsid w:val="EBCB43F5"/>
    <w:rsid w:val="EDAA8498"/>
    <w:rsid w:val="EF142DC2"/>
    <w:rsid w:val="F3EBF6CA"/>
    <w:rsid w:val="F5FE1705"/>
    <w:rsid w:val="F6D2C2D3"/>
    <w:rsid w:val="F9FBA42A"/>
    <w:rsid w:val="FA7BCDE4"/>
    <w:rsid w:val="FB5AC43B"/>
    <w:rsid w:val="FBAF5115"/>
    <w:rsid w:val="FBEFB541"/>
    <w:rsid w:val="FBFFDDA5"/>
    <w:rsid w:val="FCB750A0"/>
    <w:rsid w:val="FCFFA589"/>
    <w:rsid w:val="FDEE7C61"/>
    <w:rsid w:val="FE6FA8B7"/>
    <w:rsid w:val="FEEF5520"/>
    <w:rsid w:val="FEEFC059"/>
    <w:rsid w:val="FEF39ECF"/>
    <w:rsid w:val="FEFDD10A"/>
    <w:rsid w:val="FFCF9A01"/>
    <w:rsid w:val="FFF7462F"/>
    <w:rsid w:val="FFFB516E"/>
    <w:rsid w:val="FFFF8421"/>
    <w:rsid w:val="FFFFC130"/>
    <w:rsid w:val="FFFFF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9"/>
    <w:pPr>
      <w:keepNext/>
      <w:keepLines/>
      <w:spacing w:before="120" w:line="415" w:lineRule="auto"/>
      <w:outlineLvl w:val="2"/>
    </w:pPr>
    <w:rPr>
      <w:b/>
      <w:bCs/>
      <w:szCs w:val="32"/>
    </w:rPr>
  </w:style>
  <w:style w:type="paragraph" w:styleId="6">
    <w:name w:val="heading 4"/>
    <w:basedOn w:val="1"/>
    <w:next w:val="1"/>
    <w:unhideWhenUsed/>
    <w:qFormat/>
    <w:uiPriority w:val="9"/>
    <w:pPr>
      <w:keepNext/>
      <w:keepLines/>
      <w:numPr>
        <w:ilvl w:val="3"/>
        <w:numId w:val="1"/>
      </w:numPr>
      <w:spacing w:before="280" w:after="290" w:line="376" w:lineRule="auto"/>
      <w:ind w:left="864" w:hanging="864"/>
      <w:outlineLvl w:val="3"/>
    </w:pPr>
    <w:rPr>
      <w:rFonts w:asciiTheme="majorHAnsi" w:hAnsiTheme="majorHAnsi" w:eastAsiaTheme="majorEastAsia" w:cstheme="majorBidi"/>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qFormat/>
    <w:uiPriority w:val="0"/>
  </w:style>
  <w:style w:type="paragraph" w:customStyle="1" w:styleId="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
    <w:name w:val="1"/>
    <w:basedOn w:val="1"/>
    <w:next w:val="10"/>
    <w:qFormat/>
    <w:uiPriority w:val="0"/>
    <w:rPr>
      <w:rFonts w:ascii="宋体" w:hAnsi="Courier New"/>
      <w:sz w:val="21"/>
    </w:rPr>
  </w:style>
  <w:style w:type="paragraph" w:customStyle="1" w:styleId="23">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4">
    <w:name w:val="Default"/>
    <w:next w:val="2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7458</Words>
  <Characters>7879</Characters>
  <Lines>0</Lines>
  <Paragraphs>0</Paragraphs>
  <TotalTime>29</TotalTime>
  <ScaleCrop>false</ScaleCrop>
  <LinksUpToDate>false</LinksUpToDate>
  <CharactersWithSpaces>8006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2025-05-16T16:02:00Z</dcterms:created>
  <dc:creator>65116</dc:creator>
  <cp:lastModifiedBy>Balalala</cp:lastModifiedBy>
  <dcterms:modified xsi:type="dcterms:W3CDTF">2025-07-10T09:56:06Z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eyJoZGlkIjoiMDJmNzQxMmMwMDliNTM3M2M4ODVlYWE5YmRhMGZlZmMiLCJ1c2VySWQiOiIyNDk1MTA5OTQifQ==</vt:lpwstr>
  </property>
  <property fmtid="{D5CDD505-2E9C-101B-9397-08002B2CF9AE}" pid="4" name="ICV">
    <vt:lpwstr>56A5100DDD1378E37AA163682747D8FA</vt:lpwstr>
  </property>
</Properties>
</file>