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7AF6E">
      <w:pPr>
        <w:jc w:val="center"/>
        <w:rPr>
          <w:color w:val="auto"/>
          <w:highlight w:val="none"/>
        </w:rPr>
      </w:pPr>
    </w:p>
    <w:p w14:paraId="655143EC">
      <w:pPr>
        <w:rPr>
          <w:rFonts w:ascii="宋体"/>
          <w:color w:val="auto"/>
          <w:sz w:val="44"/>
          <w:szCs w:val="44"/>
          <w:highlight w:val="none"/>
        </w:rPr>
      </w:pPr>
    </w:p>
    <w:p w14:paraId="29A2BB77">
      <w:pPr>
        <w:outlineLvl w:val="9"/>
        <w:rPr>
          <w:color w:val="auto"/>
          <w:highlight w:val="none"/>
        </w:rPr>
      </w:pPr>
    </w:p>
    <w:p w14:paraId="004DF9F9">
      <w:pPr>
        <w:pStyle w:val="70"/>
        <w:rPr>
          <w:color w:val="auto"/>
          <w:sz w:val="44"/>
          <w:szCs w:val="44"/>
          <w:highlight w:val="none"/>
        </w:rPr>
      </w:pPr>
    </w:p>
    <w:p w14:paraId="35226F66">
      <w:pPr>
        <w:pStyle w:val="70"/>
        <w:rPr>
          <w:color w:val="auto"/>
          <w:sz w:val="44"/>
          <w:szCs w:val="44"/>
          <w:highlight w:val="none"/>
        </w:rPr>
      </w:pPr>
    </w:p>
    <w:p w14:paraId="21943C96">
      <w:pPr>
        <w:spacing w:line="1600" w:lineRule="exact"/>
        <w:jc w:val="center"/>
        <w:outlineLvl w:val="0"/>
        <w:rPr>
          <w:rFonts w:ascii="宋体" w:hAnsi="宋体" w:cs="宋体"/>
          <w:color w:val="auto"/>
          <w:sz w:val="112"/>
          <w:szCs w:val="112"/>
          <w:highlight w:val="none"/>
        </w:rPr>
      </w:pPr>
      <w:bookmarkStart w:id="0" w:name="_Toc27782"/>
      <w:r>
        <w:rPr>
          <w:rFonts w:hint="eastAsia" w:ascii="宋体" w:hAnsi="宋体" w:cs="宋体"/>
          <w:color w:val="auto"/>
          <w:sz w:val="112"/>
          <w:szCs w:val="112"/>
          <w:highlight w:val="none"/>
        </w:rPr>
        <w:t>竞争性磋商文件</w:t>
      </w:r>
      <w:bookmarkEnd w:id="0"/>
    </w:p>
    <w:p w14:paraId="1A6847C9">
      <w:pPr>
        <w:spacing w:line="700" w:lineRule="exact"/>
        <w:jc w:val="center"/>
        <w:rPr>
          <w:color w:val="auto"/>
          <w:sz w:val="36"/>
          <w:szCs w:val="30"/>
          <w:highlight w:val="none"/>
        </w:rPr>
      </w:pPr>
      <w:r>
        <w:rPr>
          <w:rFonts w:hint="eastAsia" w:ascii="宋体"/>
          <w:color w:val="auto"/>
          <w:sz w:val="36"/>
          <w:szCs w:val="30"/>
          <w:highlight w:val="none"/>
        </w:rPr>
        <w:t xml:space="preserve">  </w:t>
      </w:r>
    </w:p>
    <w:p w14:paraId="1F571A80">
      <w:pPr>
        <w:spacing w:line="700" w:lineRule="exact"/>
        <w:ind w:firstLine="2700" w:firstLineChars="750"/>
        <w:rPr>
          <w:rFonts w:ascii="宋体"/>
          <w:color w:val="auto"/>
          <w:sz w:val="36"/>
          <w:szCs w:val="30"/>
          <w:highlight w:val="none"/>
        </w:rPr>
      </w:pPr>
    </w:p>
    <w:p w14:paraId="7B0D44EF">
      <w:pPr>
        <w:spacing w:line="800" w:lineRule="exact"/>
        <w:ind w:firstLine="320" w:firstLineChars="100"/>
        <w:outlineLvl w:val="0"/>
        <w:rPr>
          <w:rFonts w:hint="eastAsia" w:ascii="宋体" w:hAnsi="宋体" w:eastAsia="宋体" w:cs="宋体"/>
          <w:color w:val="auto"/>
          <w:sz w:val="32"/>
          <w:szCs w:val="32"/>
          <w:highlight w:val="none"/>
          <w:lang w:eastAsia="zh-CN"/>
        </w:rPr>
      </w:pPr>
      <w:bookmarkStart w:id="1" w:name="_Toc22799"/>
      <w:r>
        <w:rPr>
          <w:rFonts w:hint="eastAsia" w:ascii="宋体" w:hAnsi="宋体" w:cs="宋体"/>
          <w:color w:val="auto"/>
          <w:sz w:val="32"/>
          <w:szCs w:val="32"/>
          <w:highlight w:val="none"/>
        </w:rPr>
        <w:t>项   目   号：PG-WXDZ2024-01</w:t>
      </w:r>
      <w:bookmarkEnd w:id="1"/>
      <w:r>
        <w:rPr>
          <w:rFonts w:hint="eastAsia" w:ascii="宋体" w:hAnsi="宋体" w:cs="宋体"/>
          <w:color w:val="auto"/>
          <w:sz w:val="32"/>
          <w:szCs w:val="32"/>
          <w:highlight w:val="none"/>
          <w:lang w:val="en-US" w:eastAsia="zh-CN"/>
        </w:rPr>
        <w:t>1</w:t>
      </w:r>
    </w:p>
    <w:p w14:paraId="63277CD8">
      <w:pPr>
        <w:spacing w:line="800" w:lineRule="exact"/>
        <w:ind w:left="2559" w:leftChars="114" w:hanging="2240" w:hangingChars="700"/>
        <w:jc w:val="left"/>
        <w:outlineLvl w:val="0"/>
        <w:rPr>
          <w:rFonts w:ascii="宋体" w:hAnsi="宋体" w:cs="宋体"/>
          <w:color w:val="auto"/>
          <w:sz w:val="32"/>
          <w:szCs w:val="32"/>
          <w:highlight w:val="none"/>
        </w:rPr>
      </w:pPr>
      <w:bookmarkStart w:id="2" w:name="_Toc20265"/>
      <w:r>
        <w:rPr>
          <w:rFonts w:hint="eastAsia" w:ascii="宋体" w:hAnsi="宋体" w:cs="宋体"/>
          <w:color w:val="auto"/>
          <w:sz w:val="32"/>
          <w:szCs w:val="32"/>
          <w:highlight w:val="none"/>
        </w:rPr>
        <w:t>磋商项目名称：</w:t>
      </w:r>
      <w:bookmarkEnd w:id="2"/>
      <w:r>
        <w:rPr>
          <w:rFonts w:hint="eastAsia" w:ascii="宋体" w:hAnsi="宋体" w:cs="宋体"/>
          <w:color w:val="auto"/>
          <w:sz w:val="32"/>
          <w:szCs w:val="32"/>
          <w:highlight w:val="none"/>
        </w:rPr>
        <w:t>重庆市无线电监测站2024年度干部综合素质能力提升专题培训</w:t>
      </w:r>
    </w:p>
    <w:p w14:paraId="2100076B">
      <w:pPr>
        <w:spacing w:line="600" w:lineRule="exact"/>
        <w:jc w:val="left"/>
        <w:rPr>
          <w:rFonts w:ascii="宋体" w:hAnsi="宋体" w:cs="宋体"/>
          <w:color w:val="auto"/>
          <w:sz w:val="32"/>
          <w:szCs w:val="32"/>
          <w:highlight w:val="none"/>
        </w:rPr>
      </w:pPr>
    </w:p>
    <w:p w14:paraId="76B38446">
      <w:pPr>
        <w:spacing w:line="600" w:lineRule="exact"/>
        <w:rPr>
          <w:rFonts w:ascii="宋体" w:hAnsi="宋体" w:cs="宋体"/>
          <w:b/>
          <w:color w:val="auto"/>
          <w:sz w:val="32"/>
          <w:szCs w:val="32"/>
          <w:highlight w:val="none"/>
        </w:rPr>
      </w:pPr>
    </w:p>
    <w:p w14:paraId="181620B8">
      <w:pPr>
        <w:pStyle w:val="2"/>
        <w:spacing w:line="600" w:lineRule="exact"/>
        <w:rPr>
          <w:rFonts w:ascii="宋体" w:hAnsi="宋体" w:eastAsia="宋体" w:cs="宋体"/>
          <w:b/>
          <w:color w:val="auto"/>
          <w:szCs w:val="32"/>
          <w:highlight w:val="none"/>
        </w:rPr>
      </w:pPr>
    </w:p>
    <w:p w14:paraId="323A1B4B">
      <w:pPr>
        <w:spacing w:line="800" w:lineRule="exact"/>
        <w:ind w:firstLine="320" w:firstLineChars="100"/>
        <w:outlineLvl w:val="0"/>
        <w:rPr>
          <w:rFonts w:ascii="宋体" w:hAnsi="宋体" w:cs="宋体"/>
          <w:color w:val="auto"/>
          <w:sz w:val="32"/>
          <w:szCs w:val="32"/>
          <w:highlight w:val="none"/>
        </w:rPr>
      </w:pPr>
      <w:bookmarkStart w:id="3" w:name="_Toc1837"/>
      <w:r>
        <w:rPr>
          <w:rFonts w:hint="eastAsia" w:ascii="宋体" w:hAnsi="宋体" w:cs="宋体"/>
          <w:color w:val="auto"/>
          <w:sz w:val="32"/>
          <w:szCs w:val="32"/>
          <w:highlight w:val="none"/>
        </w:rPr>
        <w:t>采   购   人：重庆市无线电监测站</w:t>
      </w:r>
      <w:bookmarkEnd w:id="3"/>
      <w:r>
        <w:rPr>
          <w:rFonts w:hint="eastAsia" w:ascii="宋体" w:hAnsi="宋体" w:cs="宋体"/>
          <w:color w:val="auto"/>
          <w:sz w:val="32"/>
          <w:szCs w:val="32"/>
          <w:highlight w:val="none"/>
        </w:rPr>
        <w:t xml:space="preserve"> </w:t>
      </w:r>
    </w:p>
    <w:p w14:paraId="37919241">
      <w:pPr>
        <w:spacing w:line="800" w:lineRule="exact"/>
        <w:ind w:firstLine="320" w:firstLineChars="100"/>
        <w:outlineLvl w:val="0"/>
        <w:rPr>
          <w:rFonts w:ascii="宋体" w:hAnsi="宋体" w:cs="宋体"/>
          <w:color w:val="auto"/>
          <w:sz w:val="32"/>
          <w:szCs w:val="32"/>
          <w:highlight w:val="none"/>
        </w:rPr>
      </w:pPr>
      <w:bookmarkStart w:id="4" w:name="_Toc26587"/>
      <w:r>
        <w:rPr>
          <w:rFonts w:hint="eastAsia" w:ascii="宋体" w:hAnsi="宋体" w:cs="宋体"/>
          <w:color w:val="auto"/>
          <w:sz w:val="32"/>
          <w:szCs w:val="32"/>
          <w:highlight w:val="none"/>
        </w:rPr>
        <w:t>采购代理机构：攀钢集团工科工程咨询有限公司</w:t>
      </w:r>
      <w:bookmarkEnd w:id="4"/>
    </w:p>
    <w:p w14:paraId="5EC2674C">
      <w:pPr>
        <w:spacing w:line="700" w:lineRule="exact"/>
        <w:rPr>
          <w:rFonts w:ascii="宋体"/>
          <w:b/>
          <w:color w:val="auto"/>
          <w:sz w:val="30"/>
          <w:szCs w:val="30"/>
          <w:highlight w:val="none"/>
        </w:rPr>
      </w:pPr>
    </w:p>
    <w:p w14:paraId="516F1E05">
      <w:pPr>
        <w:spacing w:line="800" w:lineRule="exact"/>
        <w:jc w:val="center"/>
        <w:outlineLvl w:val="0"/>
        <w:rPr>
          <w:rFonts w:ascii="宋体"/>
          <w:b/>
          <w:color w:val="auto"/>
          <w:sz w:val="30"/>
          <w:szCs w:val="30"/>
          <w:highlight w:val="none"/>
        </w:rPr>
      </w:pPr>
      <w:bookmarkStart w:id="5" w:name="_Toc25746"/>
      <w:r>
        <w:rPr>
          <w:rFonts w:hint="eastAsia" w:ascii="宋体" w:hAnsi="宋体" w:cs="宋体"/>
          <w:color w:val="auto"/>
          <w:sz w:val="32"/>
          <w:szCs w:val="32"/>
          <w:highlight w:val="none"/>
        </w:rPr>
        <w:t>二〇二四年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bookmarkEnd w:id="5"/>
    </w:p>
    <w:p w14:paraId="5E069D61">
      <w:pPr>
        <w:pageBreakBefore/>
        <w:spacing w:line="480" w:lineRule="exact"/>
        <w:jc w:val="center"/>
        <w:outlineLvl w:val="0"/>
        <w:rPr>
          <w:rFonts w:ascii="宋体" w:hAnsi="宋体" w:cs="宋体"/>
          <w:color w:val="auto"/>
          <w:sz w:val="44"/>
          <w:szCs w:val="44"/>
          <w:highlight w:val="none"/>
        </w:rPr>
      </w:pPr>
      <w:bookmarkStart w:id="6" w:name="_Toc10067"/>
      <w:r>
        <w:rPr>
          <w:rFonts w:hint="eastAsia" w:ascii="宋体" w:hAnsi="宋体" w:cs="宋体"/>
          <w:color w:val="auto"/>
          <w:sz w:val="44"/>
          <w:szCs w:val="44"/>
          <w:highlight w:val="none"/>
        </w:rPr>
        <w:t>目   录</w:t>
      </w:r>
      <w:bookmarkEnd w:id="6"/>
    </w:p>
    <w:p w14:paraId="17A5F717">
      <w:pPr>
        <w:pStyle w:val="70"/>
        <w:rPr>
          <w:rFonts w:hAnsi="宋体" w:cs="宋体"/>
          <w:color w:val="auto"/>
          <w:sz w:val="30"/>
          <w:szCs w:val="30"/>
          <w:highlight w:val="none"/>
        </w:rPr>
      </w:pPr>
    </w:p>
    <w:p w14:paraId="2179AE77">
      <w:pPr>
        <w:pStyle w:val="48"/>
        <w:tabs>
          <w:tab w:val="right" w:leader="dot" w:pos="9525"/>
        </w:tabs>
        <w:spacing w:line="600" w:lineRule="exact"/>
        <w:ind w:left="560"/>
        <w:rPr>
          <w:color w:val="auto"/>
          <w:highlight w:val="none"/>
        </w:rPr>
      </w:pPr>
      <w:bookmarkStart w:id="7" w:name="_Toc13521"/>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bookmarkEnd w:id="7"/>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_Toc26429 </w:instrText>
      </w:r>
      <w:r>
        <w:rPr>
          <w:rFonts w:hint="eastAsia" w:ascii="宋体" w:hAnsi="宋体" w:cs="宋体"/>
          <w:color w:val="auto"/>
          <w:szCs w:val="30"/>
          <w:highlight w:val="none"/>
        </w:rPr>
        <w:fldChar w:fldCharType="separate"/>
      </w:r>
      <w:r>
        <w:rPr>
          <w:rFonts w:hint="eastAsia" w:ascii="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_Toc26429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30"/>
          <w:highlight w:val="none"/>
        </w:rPr>
        <w:fldChar w:fldCharType="end"/>
      </w:r>
    </w:p>
    <w:p w14:paraId="0D451522">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"_Toc6973" </w:instrText>
      </w:r>
      <w:r>
        <w:rPr>
          <w:color w:val="auto"/>
          <w:highlight w:val="none"/>
        </w:rPr>
        <w:fldChar w:fldCharType="separate"/>
      </w:r>
      <w:r>
        <w:rPr>
          <w:rFonts w:hint="eastAsia" w:ascii="宋体"/>
          <w:bCs/>
          <w:color w:val="auto"/>
          <w:szCs w:val="30"/>
          <w:highlight w:val="none"/>
        </w:rPr>
        <w:t>第二篇  项目技术需求</w:t>
      </w:r>
      <w:r>
        <w:rPr>
          <w:color w:val="auto"/>
          <w:highlight w:val="none"/>
        </w:rPr>
        <w:tab/>
      </w:r>
      <w:r>
        <w:rPr>
          <w:color w:val="auto"/>
          <w:highlight w:val="none"/>
        </w:rPr>
        <w:fldChar w:fldCharType="begin"/>
      </w:r>
      <w:r>
        <w:rPr>
          <w:color w:val="auto"/>
          <w:highlight w:val="none"/>
        </w:rPr>
        <w:instrText xml:space="preserve"> PAGEREF _Toc6973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2A7FF424">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"_Toc16422" </w:instrText>
      </w:r>
      <w:r>
        <w:rPr>
          <w:color w:val="auto"/>
          <w:highlight w:val="none"/>
        </w:rPr>
        <w:fldChar w:fldCharType="separate"/>
      </w:r>
      <w:r>
        <w:rPr>
          <w:rFonts w:hint="eastAsia" w:ascii="宋体"/>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_Toc16422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2920B5DE">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"_Toc28773" </w:instrText>
      </w:r>
      <w:r>
        <w:rPr>
          <w:color w:val="auto"/>
          <w:highlight w:val="none"/>
        </w:rPr>
        <w:fldChar w:fldCharType="separate"/>
      </w:r>
      <w:r>
        <w:rPr>
          <w:rFonts w:hint="eastAsia" w:ascii="宋体"/>
          <w:bCs/>
          <w:color w:val="auto"/>
          <w:szCs w:val="30"/>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_Toc28773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03AF4D2">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"_Toc32678" </w:instrText>
      </w:r>
      <w:r>
        <w:rPr>
          <w:color w:val="auto"/>
          <w:highlight w:val="none"/>
        </w:rPr>
        <w:fldChar w:fldCharType="separate"/>
      </w:r>
      <w:r>
        <w:rPr>
          <w:rFonts w:hint="eastAsia" w:ascii="宋体" w:hAnsi="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_Toc32678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4BDB1881">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"_Toc8292" </w:instrText>
      </w:r>
      <w:r>
        <w:rPr>
          <w:color w:val="auto"/>
          <w:highlight w:val="none"/>
        </w:rPr>
        <w:fldChar w:fldCharType="separate"/>
      </w:r>
      <w:r>
        <w:rPr>
          <w:rFonts w:hint="eastAsia" w:ascii="宋体"/>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_Toc8292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27454A6">
      <w:pPr>
        <w:pStyle w:val="48"/>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"_Toc14130" </w:instrText>
      </w:r>
      <w:r>
        <w:rPr>
          <w:color w:val="auto"/>
          <w:highlight w:val="none"/>
        </w:rPr>
        <w:fldChar w:fldCharType="separate"/>
      </w:r>
      <w:r>
        <w:rPr>
          <w:rFonts w:ascii="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_Toc14130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6D54D139">
      <w:pPr>
        <w:pStyle w:val="48"/>
        <w:tabs>
          <w:tab w:val="right" w:leader="dot" w:pos="9525"/>
        </w:tabs>
        <w:spacing w:line="600" w:lineRule="exact"/>
        <w:ind w:left="560"/>
        <w:rPr>
          <w:color w:val="auto"/>
          <w:highlight w:val="none"/>
        </w:rPr>
      </w:pPr>
    </w:p>
    <w:p w14:paraId="18AA25C3">
      <w:pPr>
        <w:pStyle w:val="48"/>
        <w:tabs>
          <w:tab w:val="right" w:leader="dot" w:pos="9402"/>
        </w:tabs>
        <w:spacing w:line="600" w:lineRule="exact"/>
        <w:ind w:left="560"/>
        <w:jc w:val="center"/>
        <w:outlineLvl w:val="0"/>
        <w:rPr>
          <w:rFonts w:ascii="宋体"/>
          <w:color w:val="auto"/>
          <w:sz w:val="24"/>
          <w:szCs w:val="24"/>
          <w:highlight w:val="none"/>
        </w:rPr>
        <w:sectPr>
          <w:headerReference r:id="rId3" w:type="default"/>
          <w:footerReference r:id="rId4"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start="1"/>
          <w:cols w:space="0" w:num="1"/>
          <w:rtlGutter w:val="0"/>
          <w:docGrid w:linePitch="380" w:charSpace="0"/>
        </w:sectPr>
      </w:pPr>
      <w:r>
        <w:rPr>
          <w:rFonts w:hint="eastAsia" w:ascii="宋体" w:hAnsi="宋体" w:cs="宋体"/>
          <w:color w:val="auto"/>
          <w:szCs w:val="30"/>
          <w:highlight w:val="none"/>
        </w:rPr>
        <w:fldChar w:fldCharType="end"/>
      </w:r>
    </w:p>
    <w:p w14:paraId="13449599">
      <w:pPr>
        <w:pStyle w:val="5"/>
        <w:spacing w:line="360" w:lineRule="auto"/>
        <w:jc w:val="center"/>
        <w:rPr>
          <w:rFonts w:ascii="宋体" w:eastAsia="宋体"/>
          <w:color w:val="auto"/>
          <w:sz w:val="32"/>
          <w:szCs w:val="28"/>
          <w:highlight w:val="none"/>
        </w:rPr>
      </w:pPr>
      <w:bookmarkStart w:id="8" w:name="_Toc12789052"/>
      <w:bookmarkStart w:id="9" w:name="_Toc6835"/>
      <w:bookmarkStart w:id="10" w:name="_Toc26429"/>
      <w:bookmarkStart w:id="11" w:name="_Toc11641050"/>
      <w:r>
        <w:rPr>
          <w:rFonts w:hint="eastAsia" w:ascii="宋体" w:eastAsia="宋体"/>
          <w:color w:val="auto"/>
          <w:sz w:val="32"/>
          <w:szCs w:val="28"/>
          <w:highlight w:val="none"/>
        </w:rPr>
        <w:t>第一篇  采购邀请书</w:t>
      </w:r>
      <w:bookmarkEnd w:id="8"/>
      <w:bookmarkEnd w:id="9"/>
      <w:bookmarkEnd w:id="10"/>
      <w:bookmarkEnd w:id="11"/>
    </w:p>
    <w:p w14:paraId="001A9A0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color w:val="auto"/>
          <w:sz w:val="24"/>
          <w:szCs w:val="24"/>
          <w:highlight w:val="none"/>
        </w:rPr>
        <w:t>接受</w:t>
      </w:r>
      <w:r>
        <w:rPr>
          <w:rFonts w:hint="eastAsia" w:ascii="宋体"/>
          <w:color w:val="auto"/>
          <w:sz w:val="24"/>
          <w:szCs w:val="24"/>
          <w:highlight w:val="none"/>
          <w:u w:val="single"/>
        </w:rPr>
        <w:t>重庆市无线电监测站</w:t>
      </w:r>
      <w:r>
        <w:rPr>
          <w:rFonts w:hint="eastAsia" w:ascii="宋体"/>
          <w:color w:val="auto"/>
          <w:sz w:val="24"/>
          <w:szCs w:val="24"/>
          <w:highlight w:val="none"/>
        </w:rPr>
        <w:t>的委托，对</w:t>
      </w:r>
      <w:bookmarkStart w:id="271" w:name="_GoBack"/>
      <w:r>
        <w:rPr>
          <w:rFonts w:hint="eastAsia" w:ascii="宋体"/>
          <w:color w:val="auto"/>
          <w:sz w:val="24"/>
          <w:szCs w:val="24"/>
          <w:highlight w:val="none"/>
          <w:u w:val="single"/>
        </w:rPr>
        <w:t>重庆市无线电监测站2024年度干部综合素质能力提升专题培训</w:t>
      </w:r>
      <w:bookmarkEnd w:id="271"/>
      <w:r>
        <w:rPr>
          <w:rFonts w:hint="eastAsia" w:ascii="宋体"/>
          <w:color w:val="auto"/>
          <w:sz w:val="24"/>
          <w:szCs w:val="24"/>
          <w:highlight w:val="none"/>
          <w:u w:val="none"/>
          <w:lang w:val="en-US" w:eastAsia="zh-CN"/>
        </w:rPr>
        <w:t>项目</w:t>
      </w:r>
      <w:r>
        <w:rPr>
          <w:rFonts w:hint="eastAsia" w:ascii="宋体"/>
          <w:color w:val="auto"/>
          <w:sz w:val="24"/>
          <w:szCs w:val="24"/>
          <w:highlight w:val="none"/>
        </w:rPr>
        <w:t>进行竞争性磋商采购。欢迎有资格的供应商前来参与磋商。</w:t>
      </w:r>
    </w:p>
    <w:p w14:paraId="341CD834">
      <w:pPr>
        <w:pStyle w:val="6"/>
        <w:spacing w:before="0" w:after="0" w:line="360" w:lineRule="auto"/>
        <w:ind w:firstLine="482" w:firstLineChars="200"/>
        <w:rPr>
          <w:rFonts w:ascii="宋体"/>
          <w:color w:val="auto"/>
          <w:sz w:val="24"/>
          <w:szCs w:val="24"/>
          <w:highlight w:val="none"/>
        </w:rPr>
      </w:pPr>
      <w:bookmarkStart w:id="12" w:name="_Toc317775175"/>
      <w:bookmarkStart w:id="13" w:name="_Toc313893526"/>
      <w:bookmarkStart w:id="14" w:name="_Toc32725"/>
      <w:bookmarkStart w:id="15" w:name="_Toc15073"/>
      <w:bookmarkStart w:id="16" w:name="_Toc1014"/>
      <w:bookmarkStart w:id="17" w:name="_Toc31535"/>
      <w:r>
        <w:rPr>
          <w:rFonts w:hint="eastAsia" w:ascii="宋体"/>
          <w:color w:val="auto"/>
          <w:sz w:val="24"/>
          <w:szCs w:val="24"/>
          <w:highlight w:val="none"/>
        </w:rPr>
        <w:t>一、竞争性磋商内容</w:t>
      </w:r>
      <w:bookmarkEnd w:id="12"/>
      <w:bookmarkEnd w:id="13"/>
      <w:bookmarkEnd w:id="14"/>
      <w:bookmarkEnd w:id="15"/>
      <w:bookmarkEnd w:id="16"/>
      <w:bookmarkEnd w:id="17"/>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1282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3F3F6248">
            <w:pPr>
              <w:widowControl/>
              <w:jc w:val="center"/>
              <w:rPr>
                <w:rFonts w:ascii="宋体" w:cs="宋体"/>
                <w:b/>
                <w:bCs/>
                <w:color w:val="auto"/>
                <w:kern w:val="0"/>
                <w:sz w:val="21"/>
                <w:szCs w:val="24"/>
                <w:highlight w:val="none"/>
              </w:rPr>
            </w:pPr>
            <w:bookmarkStart w:id="18" w:name="_Toc373860293"/>
            <w:bookmarkStart w:id="19" w:name="_Toc317775178"/>
            <w:r>
              <w:rPr>
                <w:rFonts w:hint="eastAsia" w:ascii="宋体" w:cs="宋体"/>
                <w:b/>
                <w:bCs/>
                <w:color w:val="auto"/>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14:paraId="100304A3">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最高限价</w:t>
            </w:r>
          </w:p>
          <w:p w14:paraId="09BDF780">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14:paraId="538F3463">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磋商保证金</w:t>
            </w:r>
          </w:p>
          <w:p w14:paraId="50506241">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w:t>
            </w:r>
            <w:r>
              <w:rPr>
                <w:rFonts w:hint="eastAsia" w:ascii="宋体" w:cs="宋体"/>
                <w:b/>
                <w:bCs/>
                <w:color w:val="auto"/>
                <w:kern w:val="0"/>
                <w:sz w:val="21"/>
                <w:szCs w:val="24"/>
                <w:highlight w:val="none"/>
                <w:lang w:val="en-US" w:eastAsia="zh-CN"/>
              </w:rPr>
              <w:t>万</w:t>
            </w:r>
            <w:r>
              <w:rPr>
                <w:rFonts w:hint="eastAsia" w:ascii="宋体" w:cs="宋体"/>
                <w:b/>
                <w:bCs/>
                <w:color w:val="auto"/>
                <w:kern w:val="0"/>
                <w:sz w:val="21"/>
                <w:szCs w:val="24"/>
                <w:highlight w:val="none"/>
              </w:rPr>
              <w:t>元）</w:t>
            </w:r>
          </w:p>
        </w:tc>
        <w:tc>
          <w:tcPr>
            <w:tcW w:w="1701" w:type="dxa"/>
            <w:tcBorders>
              <w:top w:val="single" w:color="auto" w:sz="4" w:space="0"/>
              <w:left w:val="single" w:color="auto" w:sz="4" w:space="0"/>
              <w:right w:val="single" w:color="auto" w:sz="4" w:space="0"/>
            </w:tcBorders>
            <w:vAlign w:val="center"/>
          </w:tcPr>
          <w:p w14:paraId="67B852D8">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14:paraId="4DD13E1A">
            <w:pPr>
              <w:widowControl/>
              <w:jc w:val="center"/>
              <w:rPr>
                <w:rFonts w:ascii="宋体" w:cs="宋体"/>
                <w:b/>
                <w:bCs/>
                <w:color w:val="auto"/>
                <w:kern w:val="0"/>
                <w:sz w:val="21"/>
                <w:szCs w:val="24"/>
                <w:highlight w:val="none"/>
              </w:rPr>
            </w:pPr>
            <w:r>
              <w:rPr>
                <w:rFonts w:hint="eastAsia" w:ascii="宋体" w:cs="宋体"/>
                <w:b/>
                <w:bCs/>
                <w:color w:val="auto"/>
                <w:kern w:val="0"/>
                <w:sz w:val="21"/>
                <w:szCs w:val="21"/>
                <w:highlight w:val="none"/>
              </w:rPr>
              <w:t>采购标的对应的中小企业划分标准所属行业</w:t>
            </w:r>
          </w:p>
        </w:tc>
      </w:tr>
      <w:tr w14:paraId="36D0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2C583894">
            <w:pPr>
              <w:pStyle w:val="25"/>
              <w:spacing w:line="240" w:lineRule="atLeast"/>
              <w:ind w:left="0"/>
              <w:jc w:val="center"/>
              <w:outlineLvl w:val="0"/>
              <w:rPr>
                <w:rFonts w:ascii="宋体"/>
                <w:color w:val="auto"/>
                <w:sz w:val="21"/>
                <w:szCs w:val="21"/>
                <w:highlight w:val="none"/>
              </w:rPr>
            </w:pPr>
            <w:bookmarkStart w:id="20" w:name="_Hlk344477914"/>
            <w:r>
              <w:rPr>
                <w:rFonts w:hint="eastAsia" w:ascii="宋体"/>
                <w:color w:val="auto"/>
                <w:sz w:val="21"/>
                <w:szCs w:val="21"/>
                <w:highlight w:val="none"/>
              </w:rPr>
              <w:t>重庆市无线电监测站2024年度干部综合素质能力提升专题培训</w:t>
            </w:r>
          </w:p>
        </w:tc>
        <w:tc>
          <w:tcPr>
            <w:tcW w:w="1347" w:type="dxa"/>
            <w:tcBorders>
              <w:top w:val="single" w:color="auto" w:sz="4" w:space="0"/>
              <w:left w:val="single" w:color="auto" w:sz="4" w:space="0"/>
              <w:right w:val="single" w:color="auto" w:sz="4" w:space="0"/>
            </w:tcBorders>
            <w:vAlign w:val="center"/>
          </w:tcPr>
          <w:p w14:paraId="53E4F58E">
            <w:pPr>
              <w:pStyle w:val="25"/>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23.9</w:t>
            </w:r>
          </w:p>
        </w:tc>
        <w:tc>
          <w:tcPr>
            <w:tcW w:w="1347" w:type="dxa"/>
            <w:tcBorders>
              <w:top w:val="single" w:color="auto" w:sz="4" w:space="0"/>
              <w:left w:val="single" w:color="auto" w:sz="4" w:space="0"/>
              <w:right w:val="single" w:color="auto" w:sz="4" w:space="0"/>
            </w:tcBorders>
            <w:vAlign w:val="center"/>
          </w:tcPr>
          <w:p w14:paraId="2B4DF457">
            <w:pPr>
              <w:pStyle w:val="25"/>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0.4</w:t>
            </w:r>
          </w:p>
        </w:tc>
        <w:tc>
          <w:tcPr>
            <w:tcW w:w="1701" w:type="dxa"/>
            <w:tcBorders>
              <w:top w:val="single" w:color="auto" w:sz="4" w:space="0"/>
              <w:left w:val="single" w:color="auto" w:sz="4" w:space="0"/>
              <w:right w:val="single" w:color="auto" w:sz="4" w:space="0"/>
            </w:tcBorders>
            <w:vAlign w:val="center"/>
          </w:tcPr>
          <w:p w14:paraId="055CDF6E">
            <w:pPr>
              <w:pStyle w:val="25"/>
              <w:spacing w:line="240" w:lineRule="atLeast"/>
              <w:ind w:left="0"/>
              <w:jc w:val="center"/>
              <w:outlineLvl w:val="0"/>
              <w:rPr>
                <w:rFonts w:ascii="宋体"/>
                <w:color w:val="auto"/>
                <w:sz w:val="21"/>
                <w:szCs w:val="21"/>
                <w:highlight w:val="none"/>
              </w:rPr>
            </w:pPr>
            <w:bookmarkStart w:id="21" w:name="_Toc17229"/>
            <w:r>
              <w:rPr>
                <w:rFonts w:ascii="宋体"/>
                <w:color w:val="auto"/>
                <w:sz w:val="21"/>
                <w:szCs w:val="21"/>
                <w:highlight w:val="none"/>
              </w:rPr>
              <w:t>1</w:t>
            </w:r>
            <w:bookmarkEnd w:id="21"/>
          </w:p>
        </w:tc>
        <w:tc>
          <w:tcPr>
            <w:tcW w:w="2409" w:type="dxa"/>
            <w:tcBorders>
              <w:top w:val="single" w:color="auto" w:sz="4" w:space="0"/>
              <w:left w:val="single" w:color="auto" w:sz="4" w:space="0"/>
              <w:right w:val="single" w:color="auto" w:sz="4" w:space="0"/>
            </w:tcBorders>
            <w:vAlign w:val="center"/>
          </w:tcPr>
          <w:p w14:paraId="615552C7">
            <w:pPr>
              <w:pStyle w:val="25"/>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其他</w:t>
            </w:r>
          </w:p>
        </w:tc>
      </w:tr>
      <w:bookmarkEnd w:id="20"/>
    </w:tbl>
    <w:p w14:paraId="25B5219D">
      <w:pPr>
        <w:pStyle w:val="6"/>
        <w:spacing w:before="0" w:after="0" w:line="540" w:lineRule="exact"/>
        <w:ind w:firstLine="482" w:firstLineChars="200"/>
        <w:rPr>
          <w:rFonts w:ascii="宋体"/>
          <w:color w:val="auto"/>
          <w:sz w:val="24"/>
          <w:szCs w:val="24"/>
          <w:highlight w:val="none"/>
        </w:rPr>
      </w:pPr>
      <w:bookmarkStart w:id="22" w:name="_Toc8941"/>
      <w:bookmarkStart w:id="23" w:name="_Toc2073"/>
      <w:bookmarkStart w:id="24" w:name="_Toc9910"/>
      <w:bookmarkStart w:id="25" w:name="_Toc3637"/>
      <w:r>
        <w:rPr>
          <w:rFonts w:hint="eastAsia" w:ascii="宋体"/>
          <w:color w:val="auto"/>
          <w:sz w:val="24"/>
          <w:szCs w:val="24"/>
          <w:highlight w:val="none"/>
        </w:rPr>
        <w:t>二、资金来源</w:t>
      </w:r>
      <w:bookmarkEnd w:id="22"/>
      <w:bookmarkEnd w:id="23"/>
      <w:bookmarkEnd w:id="24"/>
      <w:bookmarkEnd w:id="25"/>
    </w:p>
    <w:p w14:paraId="211F918C">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财政预算资金,预算金额为</w:t>
      </w:r>
      <w:r>
        <w:rPr>
          <w:rFonts w:hint="eastAsia" w:ascii="宋体"/>
          <w:color w:val="auto"/>
          <w:sz w:val="24"/>
          <w:szCs w:val="24"/>
          <w:highlight w:val="none"/>
          <w:lang w:eastAsia="zh-CN"/>
        </w:rPr>
        <w:t>23.9</w:t>
      </w:r>
      <w:r>
        <w:rPr>
          <w:rFonts w:hint="eastAsia" w:ascii="宋体"/>
          <w:color w:val="auto"/>
          <w:sz w:val="24"/>
          <w:szCs w:val="24"/>
          <w:highlight w:val="none"/>
        </w:rPr>
        <w:t>万元。</w:t>
      </w:r>
    </w:p>
    <w:bookmarkEnd w:id="18"/>
    <w:bookmarkEnd w:id="19"/>
    <w:p w14:paraId="4667CA29">
      <w:pPr>
        <w:pStyle w:val="6"/>
        <w:spacing w:before="0" w:after="0" w:line="540" w:lineRule="exact"/>
        <w:ind w:firstLine="482" w:firstLineChars="200"/>
        <w:rPr>
          <w:rFonts w:ascii="宋体"/>
          <w:color w:val="auto"/>
          <w:sz w:val="24"/>
          <w:szCs w:val="24"/>
          <w:highlight w:val="none"/>
        </w:rPr>
      </w:pPr>
      <w:bookmarkStart w:id="26" w:name="_Toc75258773"/>
      <w:bookmarkStart w:id="27" w:name="_Toc15242"/>
      <w:bookmarkStart w:id="28" w:name="_Toc5187"/>
      <w:bookmarkStart w:id="29" w:name="_Toc27034"/>
      <w:bookmarkStart w:id="30" w:name="_Toc7572"/>
      <w:r>
        <w:rPr>
          <w:rFonts w:hint="eastAsia" w:ascii="宋体"/>
          <w:color w:val="auto"/>
          <w:sz w:val="24"/>
          <w:szCs w:val="24"/>
          <w:highlight w:val="none"/>
        </w:rPr>
        <w:t>三、供应商资格条件</w:t>
      </w:r>
      <w:bookmarkEnd w:id="26"/>
      <w:bookmarkEnd w:id="27"/>
      <w:bookmarkEnd w:id="28"/>
      <w:bookmarkEnd w:id="29"/>
      <w:bookmarkEnd w:id="30"/>
    </w:p>
    <w:p w14:paraId="636D4702">
      <w:pPr>
        <w:spacing w:line="540" w:lineRule="exact"/>
        <w:ind w:firstLine="480" w:firstLineChars="200"/>
        <w:rPr>
          <w:rFonts w:ascii="宋体" w:hAnsi="宋体" w:cs="宋体"/>
          <w:color w:val="auto"/>
          <w:sz w:val="24"/>
          <w:szCs w:val="24"/>
          <w:highlight w:val="none"/>
        </w:rPr>
      </w:pPr>
      <w:bookmarkStart w:id="31" w:name="_Toc75258774"/>
      <w:r>
        <w:rPr>
          <w:rFonts w:hint="eastAsia" w:ascii="宋体"/>
          <w:color w:val="auto"/>
          <w:sz w:val="24"/>
          <w:szCs w:val="24"/>
          <w:highlight w:val="none"/>
        </w:rPr>
        <w:t>（一）</w:t>
      </w:r>
      <w:r>
        <w:rPr>
          <w:rFonts w:hint="eastAsia" w:ascii="宋体" w:hAnsi="宋体" w:cs="宋体"/>
          <w:color w:val="auto"/>
          <w:sz w:val="24"/>
          <w:szCs w:val="24"/>
          <w:highlight w:val="none"/>
        </w:rPr>
        <w:t>满足《中华人民共和国政府采购法》第二十二条规定；</w:t>
      </w:r>
    </w:p>
    <w:p w14:paraId="398C5C3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14:paraId="6694D157">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（三）本项目的特定资格要求：</w:t>
      </w:r>
      <w:r>
        <w:rPr>
          <w:rFonts w:hint="eastAsia" w:ascii="宋体" w:hAnsi="宋体" w:cs="宋体"/>
          <w:color w:val="auto"/>
          <w:sz w:val="24"/>
          <w:szCs w:val="24"/>
          <w:highlight w:val="none"/>
          <w:lang w:val="en-US" w:eastAsia="zh-CN"/>
        </w:rPr>
        <w:t>无</w:t>
      </w:r>
    </w:p>
    <w:p w14:paraId="4E4065AA">
      <w:pPr>
        <w:pStyle w:val="6"/>
        <w:spacing w:before="0" w:after="0" w:line="540" w:lineRule="exact"/>
        <w:ind w:firstLine="482" w:firstLineChars="200"/>
        <w:rPr>
          <w:rFonts w:ascii="宋体"/>
          <w:color w:val="auto"/>
          <w:sz w:val="24"/>
          <w:szCs w:val="24"/>
          <w:highlight w:val="none"/>
        </w:rPr>
      </w:pPr>
      <w:bookmarkStart w:id="32" w:name="_Toc17395"/>
      <w:bookmarkStart w:id="33" w:name="_Toc12907"/>
      <w:bookmarkStart w:id="34" w:name="_Toc23007"/>
      <w:bookmarkStart w:id="35" w:name="_Toc16937"/>
      <w:r>
        <w:rPr>
          <w:rFonts w:hint="eastAsia" w:ascii="宋体"/>
          <w:color w:val="auto"/>
          <w:sz w:val="24"/>
          <w:szCs w:val="24"/>
          <w:highlight w:val="none"/>
        </w:rPr>
        <w:t>四、磋商有关说明</w:t>
      </w:r>
      <w:bookmarkEnd w:id="31"/>
      <w:bookmarkEnd w:id="32"/>
      <w:bookmarkEnd w:id="33"/>
      <w:bookmarkEnd w:id="34"/>
      <w:bookmarkEnd w:id="35"/>
    </w:p>
    <w:p w14:paraId="110609C8">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（一）凡有意参加磋商的供应商，</w:t>
      </w:r>
      <w:r>
        <w:rPr>
          <w:rFonts w:hint="eastAsia" w:ascii="宋体" w:cs="宋体"/>
          <w:color w:val="auto"/>
          <w:sz w:val="24"/>
          <w:szCs w:val="24"/>
          <w:highlight w:val="none"/>
        </w:rPr>
        <w:t>请到重庆市经济和信息化委员会网上（https://jjxxw.cq.gov.cn/）下载本项目磋商文件以及图纸、澄清等开标前公布的所有项目资料，无论供应商领取或下载与否，均视为已知晓所有招标内容。</w:t>
      </w:r>
    </w:p>
    <w:p w14:paraId="14A074A7">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（二）竞争性磋商文件报名期限：</w:t>
      </w:r>
      <w:r>
        <w:rPr>
          <w:rFonts w:hint="eastAsia" w:ascii="宋体" w:hAnsi="宋体" w:cs="宋体"/>
          <w:color w:val="auto"/>
          <w:sz w:val="24"/>
          <w:szCs w:val="24"/>
          <w:highlight w:val="none"/>
        </w:rPr>
        <w:t>自采购公告发布之日起三个工作日。</w:t>
      </w:r>
    </w:p>
    <w:p w14:paraId="1091C878">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（三）竞争性磋商文件发售</w:t>
      </w:r>
    </w:p>
    <w:p w14:paraId="22900AE0">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1.竞争性磋商文件发售期：2024年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p>
    <w:p w14:paraId="0FF7C040">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2.报名方式：供应商在2024年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12 </w:t>
      </w:r>
      <w:r>
        <w:rPr>
          <w:rFonts w:hint="eastAsia" w:ascii="宋体" w:hAnsi="宋体" w:cs="宋体"/>
          <w:color w:val="auto"/>
          <w:sz w:val="24"/>
          <w:szCs w:val="24"/>
          <w:highlight w:val="none"/>
        </w:rPr>
        <w:t>日17:00时前将《磋商文件发售登记表》（加盖供应商公章）扫描后发送至电子邮箱273243138@qq.com ，视为具备报名资格，否则视为无效。</w:t>
      </w:r>
    </w:p>
    <w:p w14:paraId="38F6C074">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竞争性磋商文件售价：人民币300元/包（售后不退）。</w:t>
      </w:r>
    </w:p>
    <w:p w14:paraId="075A3620">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4.磋商文件费缴纳方式：报名时缴纳。</w:t>
      </w:r>
    </w:p>
    <w:p w14:paraId="6219D9D5">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（四）供应商须满足以下三种要件，其响应文件才被接受：</w:t>
      </w:r>
    </w:p>
    <w:p w14:paraId="1D5A088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14:paraId="6C813E2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6C52D3F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7E0091E4">
      <w:pPr>
        <w:spacing w:line="540" w:lineRule="exact"/>
        <w:ind w:firstLine="480" w:firstLineChars="200"/>
        <w:rPr>
          <w:rFonts w:ascii="宋体" w:hAnsi="宋体" w:cs="宋体"/>
          <w:color w:val="auto"/>
          <w:sz w:val="24"/>
          <w:szCs w:val="24"/>
          <w:highlight w:val="none"/>
        </w:rPr>
      </w:pPr>
      <w:bookmarkStart w:id="36" w:name="_Toc75258775"/>
      <w:bookmarkStart w:id="37" w:name="_Toc15855"/>
      <w:bookmarkStart w:id="38" w:name="_Toc373860294"/>
      <w:r>
        <w:rPr>
          <w:rFonts w:hint="eastAsia" w:ascii="宋体" w:hAnsi="宋体" w:cs="宋体"/>
          <w:color w:val="auto"/>
          <w:sz w:val="24"/>
          <w:szCs w:val="24"/>
          <w:highlight w:val="none"/>
        </w:rPr>
        <w:t>（五）递交响应文件地点：攀钢集团工科工程咨询有限公司会议室（重庆市渝北区青枫北路12号双子座B座13楼）</w:t>
      </w:r>
    </w:p>
    <w:p w14:paraId="71C7F24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（六）响应文件递交截止时间：2024年</w:t>
      </w:r>
      <w:r>
        <w:rPr>
          <w:rFonts w:hint="eastAsia" w:ascii="宋体" w:hAnsi="宋体" w:cs="宋体"/>
          <w:color w:val="auto"/>
          <w:sz w:val="24"/>
          <w:szCs w:val="24"/>
          <w:highlight w:val="none"/>
          <w:lang w:val="en-US" w:eastAsia="zh-CN"/>
        </w:rPr>
        <w:t xml:space="preserve"> 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日北京时间14:30</w:t>
      </w:r>
    </w:p>
    <w:p w14:paraId="4FCA14E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（七）磋商开始时间：2024年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日北京时间14:30</w:t>
      </w:r>
    </w:p>
    <w:p w14:paraId="1B89884C">
      <w:pPr>
        <w:pStyle w:val="6"/>
        <w:spacing w:before="0" w:after="0" w:line="540" w:lineRule="exact"/>
        <w:ind w:firstLine="482" w:firstLineChars="200"/>
        <w:rPr>
          <w:rFonts w:ascii="宋体"/>
          <w:color w:val="auto"/>
          <w:sz w:val="24"/>
          <w:szCs w:val="24"/>
          <w:highlight w:val="none"/>
        </w:rPr>
      </w:pPr>
      <w:bookmarkStart w:id="39" w:name="_Toc1342"/>
      <w:bookmarkStart w:id="40" w:name="_Toc26111"/>
      <w:bookmarkStart w:id="41" w:name="_Toc32679"/>
      <w:r>
        <w:rPr>
          <w:rFonts w:hint="eastAsia" w:ascii="宋体"/>
          <w:color w:val="auto"/>
          <w:sz w:val="24"/>
          <w:szCs w:val="24"/>
          <w:highlight w:val="none"/>
        </w:rPr>
        <w:t>五、磋商保证金</w:t>
      </w:r>
      <w:bookmarkEnd w:id="36"/>
      <w:bookmarkEnd w:id="37"/>
      <w:bookmarkEnd w:id="38"/>
      <w:bookmarkEnd w:id="39"/>
      <w:bookmarkEnd w:id="40"/>
      <w:bookmarkEnd w:id="41"/>
    </w:p>
    <w:p w14:paraId="702626B5">
      <w:pPr>
        <w:spacing w:line="540" w:lineRule="exact"/>
        <w:ind w:firstLine="480" w:firstLineChars="200"/>
        <w:rPr>
          <w:rFonts w:ascii="宋体" w:hAnsi="宋体" w:cs="宋体"/>
          <w:color w:val="auto"/>
          <w:sz w:val="24"/>
          <w:szCs w:val="24"/>
          <w:highlight w:val="none"/>
        </w:rPr>
      </w:pPr>
      <w:bookmarkStart w:id="42" w:name="_Toc530038692"/>
      <w:r>
        <w:rPr>
          <w:rFonts w:hint="eastAsia" w:ascii="宋体" w:hAnsi="宋体" w:cs="宋体"/>
          <w:color w:val="auto"/>
          <w:sz w:val="24"/>
          <w:szCs w:val="24"/>
          <w:highlight w:val="none"/>
        </w:rPr>
        <w:t>（一）磋商保证金递交</w:t>
      </w:r>
    </w:p>
    <w:p w14:paraId="2184B27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供应商须按本项目规定的磋商保证金金额进行缴纳（保证金金额详见本篇，一、竞争性磋商内容），由供应商从其单位账户将磋商保证金汇至以下账户，磋商保证金的到账截止时间为2024年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日12:00。缴纳保证金时付款凭证备注栏必须备注项目名称（可简写）。</w:t>
      </w:r>
    </w:p>
    <w:p w14:paraId="6623361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3472C07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18CBFF5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55869C9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26B7139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4E1442E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74BE6B2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2.成交供应商的投标保证金，在成交供应商与采购人签订合同后，由采购代理机构扣除中标服务费后在五个工作日内按资金来款渠道直接退还。</w:t>
      </w:r>
    </w:p>
    <w:p w14:paraId="34596548">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15291FE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1.未成交供应商的保证金，在成交通知书发放后，由采购代理机构在五个工作日内按来款渠道直接退还。</w:t>
      </w:r>
    </w:p>
    <w:p w14:paraId="1928BA03">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 成交供应商的磋商保证金，在成交供应商与采购人签订合同并将合同复印件递交采购代理机构后，由采购代理机构在五个工作日内按资金来款渠道直接退还。</w:t>
      </w:r>
    </w:p>
    <w:p w14:paraId="0155AE5C">
      <w:pPr>
        <w:pStyle w:val="6"/>
        <w:spacing w:before="0" w:after="0" w:line="540" w:lineRule="exact"/>
        <w:ind w:firstLine="482" w:firstLineChars="200"/>
        <w:rPr>
          <w:rFonts w:ascii="宋体"/>
          <w:color w:val="auto"/>
          <w:sz w:val="24"/>
          <w:szCs w:val="24"/>
          <w:highlight w:val="none"/>
        </w:rPr>
      </w:pPr>
      <w:bookmarkStart w:id="43" w:name="_Toc17564"/>
      <w:bookmarkStart w:id="44" w:name="_Toc24119"/>
      <w:bookmarkStart w:id="45" w:name="_Toc19386"/>
      <w:bookmarkStart w:id="46" w:name="_Toc75258776"/>
      <w:bookmarkStart w:id="47" w:name="_Toc7727"/>
      <w:r>
        <w:rPr>
          <w:rFonts w:hint="eastAsia" w:ascii="宋体"/>
          <w:color w:val="auto"/>
          <w:sz w:val="24"/>
          <w:szCs w:val="24"/>
          <w:highlight w:val="none"/>
        </w:rPr>
        <w:t>六、采购项目需落实的政府采购政策</w:t>
      </w:r>
      <w:bookmarkEnd w:id="42"/>
      <w:bookmarkEnd w:id="43"/>
      <w:bookmarkEnd w:id="44"/>
      <w:bookmarkEnd w:id="45"/>
      <w:bookmarkEnd w:id="46"/>
      <w:bookmarkEnd w:id="47"/>
    </w:p>
    <w:p w14:paraId="67A83DEA">
      <w:pPr>
        <w:snapToGrid w:val="0"/>
        <w:spacing w:line="540" w:lineRule="exact"/>
        <w:ind w:firstLine="480" w:firstLineChars="200"/>
        <w:rPr>
          <w:rFonts w:ascii="宋体" w:hAnsi="宋体" w:cs="宋体"/>
          <w:color w:val="auto"/>
          <w:sz w:val="24"/>
          <w:szCs w:val="24"/>
          <w:highlight w:val="none"/>
        </w:rPr>
      </w:pPr>
      <w:bookmarkStart w:id="48" w:name="_Toc75258777"/>
      <w:bookmarkStart w:id="49" w:name="_Toc25434"/>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D9D0975">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626F0C4A">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3438D6D7">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bookmarkEnd w:id="48"/>
    <w:bookmarkEnd w:id="49"/>
    <w:p w14:paraId="3C7C5512">
      <w:pPr>
        <w:pStyle w:val="6"/>
        <w:spacing w:before="0" w:after="0" w:line="540" w:lineRule="exact"/>
        <w:ind w:firstLine="482" w:firstLineChars="200"/>
        <w:rPr>
          <w:rFonts w:ascii="宋体" w:hAnsi="宋体" w:cs="宋体"/>
          <w:color w:val="auto"/>
          <w:sz w:val="24"/>
          <w:szCs w:val="24"/>
          <w:highlight w:val="none"/>
        </w:rPr>
      </w:pPr>
      <w:bookmarkStart w:id="50" w:name="_Toc2987"/>
      <w:bookmarkStart w:id="51" w:name="_Toc3773"/>
      <w:bookmarkStart w:id="52" w:name="_Toc20130536"/>
      <w:bookmarkStart w:id="53" w:name="_Toc27112"/>
      <w:r>
        <w:rPr>
          <w:rFonts w:hint="eastAsia" w:ascii="宋体" w:hAnsi="宋体" w:cs="宋体"/>
          <w:color w:val="auto"/>
          <w:sz w:val="24"/>
          <w:szCs w:val="24"/>
          <w:highlight w:val="none"/>
        </w:rPr>
        <w:t>七、其它有关规定</w:t>
      </w:r>
      <w:bookmarkEnd w:id="50"/>
      <w:bookmarkEnd w:id="51"/>
      <w:bookmarkEnd w:id="52"/>
      <w:bookmarkEnd w:id="53"/>
    </w:p>
    <w:p w14:paraId="2C4CA1D7">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2E20DE2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D315E59">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16B835BD">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37190AC0">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4EB0EDE0">
      <w:pPr>
        <w:snapToGrid w:val="0"/>
        <w:spacing w:line="5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36B360A0">
      <w:pPr>
        <w:snapToGrid w:val="0"/>
        <w:spacing w:line="5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04AD3C73">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6136632">
      <w:pPr>
        <w:snapToGrid w:val="0"/>
        <w:spacing w:line="500" w:lineRule="exact"/>
        <w:ind w:firstLine="480" w:firstLineChars="200"/>
        <w:rPr>
          <w:rFonts w:ascii="宋体"/>
          <w:color w:val="auto"/>
          <w:sz w:val="24"/>
          <w:szCs w:val="24"/>
          <w:highlight w:val="none"/>
        </w:rPr>
      </w:pPr>
    </w:p>
    <w:p w14:paraId="4B25315E">
      <w:pPr>
        <w:pStyle w:val="6"/>
        <w:spacing w:before="0" w:after="0" w:line="500" w:lineRule="exact"/>
        <w:ind w:firstLine="482" w:firstLineChars="200"/>
        <w:rPr>
          <w:rFonts w:ascii="宋体"/>
          <w:color w:val="auto"/>
          <w:sz w:val="24"/>
          <w:szCs w:val="24"/>
          <w:highlight w:val="none"/>
        </w:rPr>
      </w:pPr>
      <w:bookmarkStart w:id="54" w:name="_Toc9088"/>
      <w:bookmarkStart w:id="55" w:name="_Toc9505"/>
      <w:bookmarkStart w:id="56" w:name="_Toc31612"/>
      <w:bookmarkStart w:id="57" w:name="_Toc2568"/>
      <w:r>
        <w:rPr>
          <w:rFonts w:hint="eastAsia" w:ascii="宋体"/>
          <w:color w:val="auto"/>
          <w:sz w:val="24"/>
          <w:szCs w:val="24"/>
          <w:highlight w:val="none"/>
        </w:rPr>
        <w:t>八、联系方式</w:t>
      </w:r>
      <w:bookmarkEnd w:id="54"/>
      <w:bookmarkEnd w:id="55"/>
      <w:bookmarkEnd w:id="56"/>
      <w:bookmarkEnd w:id="57"/>
    </w:p>
    <w:p w14:paraId="137CD68F">
      <w:pPr>
        <w:snapToGrid w:val="0"/>
        <w:spacing w:line="500" w:lineRule="exact"/>
        <w:ind w:firstLine="480" w:firstLineChars="200"/>
        <w:rPr>
          <w:rFonts w:ascii="宋体"/>
          <w:color w:val="auto"/>
          <w:sz w:val="24"/>
          <w:szCs w:val="24"/>
          <w:highlight w:val="none"/>
        </w:rPr>
      </w:pPr>
      <w:r>
        <w:rPr>
          <w:rFonts w:hint="eastAsia" w:ascii="宋体"/>
          <w:color w:val="auto"/>
          <w:sz w:val="24"/>
          <w:szCs w:val="24"/>
          <w:highlight w:val="none"/>
        </w:rPr>
        <w:t>（一）采购人：</w:t>
      </w:r>
      <w:r>
        <w:rPr>
          <w:rFonts w:ascii="宋体"/>
          <w:color w:val="auto"/>
          <w:sz w:val="24"/>
          <w:szCs w:val="24"/>
          <w:highlight w:val="none"/>
        </w:rPr>
        <w:t>重庆市无线电监测站</w:t>
      </w:r>
    </w:p>
    <w:p w14:paraId="42428519">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联系人：罗老师</w:t>
      </w:r>
    </w:p>
    <w:p w14:paraId="261C7FD6">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电  话：023-67710873</w:t>
      </w:r>
    </w:p>
    <w:p w14:paraId="7DDA858B">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地  址：重庆市江北区兴隆路26号数码大厦16楼</w:t>
      </w:r>
    </w:p>
    <w:p w14:paraId="388EF173">
      <w:pPr>
        <w:pStyle w:val="70"/>
        <w:rPr>
          <w:color w:val="auto"/>
          <w:szCs w:val="24"/>
          <w:highlight w:val="none"/>
        </w:rPr>
      </w:pPr>
    </w:p>
    <w:p w14:paraId="3030B612">
      <w:pPr>
        <w:pStyle w:val="70"/>
        <w:rPr>
          <w:color w:val="auto"/>
          <w:szCs w:val="24"/>
          <w:highlight w:val="none"/>
        </w:rPr>
      </w:pPr>
    </w:p>
    <w:p w14:paraId="26CB7CB2">
      <w:pPr>
        <w:pStyle w:val="70"/>
        <w:rPr>
          <w:color w:val="auto"/>
          <w:szCs w:val="24"/>
          <w:highlight w:val="none"/>
        </w:rPr>
      </w:pPr>
    </w:p>
    <w:p w14:paraId="2BF96F6B">
      <w:pPr>
        <w:snapToGrid w:val="0"/>
        <w:spacing w:line="500" w:lineRule="exact"/>
        <w:ind w:firstLine="480" w:firstLineChars="200"/>
        <w:outlineLvl w:val="2"/>
        <w:rPr>
          <w:rFonts w:ascii="宋体" w:hAnsi="宋体" w:cs="宋体"/>
          <w:color w:val="auto"/>
          <w:sz w:val="24"/>
          <w:szCs w:val="24"/>
          <w:highlight w:val="none"/>
        </w:rPr>
      </w:pPr>
      <w:bookmarkStart w:id="58" w:name="_Toc180051219"/>
      <w:bookmarkStart w:id="59" w:name="_Toc216163282"/>
      <w:bookmarkStart w:id="60" w:name="_Toc178828108"/>
      <w:r>
        <w:rPr>
          <w:rFonts w:hint="eastAsia" w:ascii="宋体" w:hAnsi="宋体" w:cs="宋体"/>
          <w:color w:val="auto"/>
          <w:sz w:val="24"/>
          <w:szCs w:val="24"/>
          <w:highlight w:val="none"/>
        </w:rPr>
        <w:t>（二）采购代理机构：攀钢集团工科工程咨询有限公司</w:t>
      </w:r>
    </w:p>
    <w:p w14:paraId="6D813258">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联系人：李老师 </w:t>
      </w:r>
    </w:p>
    <w:p w14:paraId="0ECB5866">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话：18502307440</w:t>
      </w:r>
    </w:p>
    <w:p w14:paraId="2412F54C">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14:paraId="4D81A652">
      <w:pPr>
        <w:snapToGrid w:val="0"/>
        <w:spacing w:line="360" w:lineRule="auto"/>
        <w:ind w:firstLine="480" w:firstLineChars="200"/>
        <w:rPr>
          <w:rFonts w:ascii="宋体"/>
          <w:color w:val="auto"/>
          <w:sz w:val="24"/>
          <w:szCs w:val="24"/>
          <w:highlight w:val="none"/>
        </w:rPr>
      </w:pPr>
    </w:p>
    <w:p w14:paraId="16DB14C4">
      <w:pPr>
        <w:pStyle w:val="2"/>
        <w:rPr>
          <w:color w:val="auto"/>
          <w:highlight w:val="none"/>
        </w:rPr>
      </w:pPr>
    </w:p>
    <w:p w14:paraId="004CCF4F">
      <w:pPr>
        <w:pStyle w:val="2"/>
        <w:rPr>
          <w:color w:val="auto"/>
          <w:highlight w:val="none"/>
        </w:rPr>
      </w:pPr>
    </w:p>
    <w:p w14:paraId="348BB4A0">
      <w:pPr>
        <w:pStyle w:val="3"/>
        <w:rPr>
          <w:color w:val="auto"/>
          <w:highlight w:val="none"/>
        </w:rPr>
      </w:pPr>
    </w:p>
    <w:bookmarkEnd w:id="58"/>
    <w:bookmarkEnd w:id="59"/>
    <w:bookmarkEnd w:id="60"/>
    <w:p w14:paraId="1D71AFE3">
      <w:pPr>
        <w:pStyle w:val="5"/>
        <w:pageBreakBefore/>
        <w:widowControl w:val="0"/>
        <w:kinsoku/>
        <w:wordWrap/>
        <w:overflowPunct/>
        <w:topLinePunct w:val="0"/>
        <w:autoSpaceDE/>
        <w:autoSpaceDN/>
        <w:bidi w:val="0"/>
        <w:adjustRightInd/>
        <w:spacing w:line="500" w:lineRule="exact"/>
        <w:jc w:val="center"/>
        <w:textAlignment w:val="auto"/>
        <w:rPr>
          <w:rFonts w:ascii="宋体" w:eastAsia="宋体"/>
          <w:b/>
          <w:bCs w:val="0"/>
          <w:color w:val="auto"/>
          <w:sz w:val="32"/>
          <w:szCs w:val="28"/>
          <w:highlight w:val="none"/>
        </w:rPr>
      </w:pPr>
      <w:bookmarkStart w:id="61" w:name="_Toc6973"/>
      <w:bookmarkStart w:id="62" w:name="_Toc13245"/>
      <w:r>
        <w:rPr>
          <w:rFonts w:hint="eastAsia" w:ascii="宋体" w:eastAsia="宋体"/>
          <w:b/>
          <w:bCs w:val="0"/>
          <w:color w:val="auto"/>
          <w:sz w:val="32"/>
          <w:szCs w:val="28"/>
          <w:highlight w:val="none"/>
        </w:rPr>
        <w:t>第二篇  项目</w:t>
      </w:r>
      <w:r>
        <w:rPr>
          <w:rFonts w:hint="eastAsia" w:ascii="宋体" w:eastAsia="宋体"/>
          <w:b/>
          <w:bCs w:val="0"/>
          <w:color w:val="auto"/>
          <w:sz w:val="32"/>
          <w:szCs w:val="28"/>
          <w:highlight w:val="none"/>
          <w:lang w:val="en-US" w:eastAsia="zh-CN"/>
        </w:rPr>
        <w:t>服务</w:t>
      </w:r>
      <w:r>
        <w:rPr>
          <w:rFonts w:hint="eastAsia" w:ascii="宋体" w:eastAsia="宋体"/>
          <w:b/>
          <w:bCs w:val="0"/>
          <w:color w:val="auto"/>
          <w:sz w:val="32"/>
          <w:szCs w:val="28"/>
          <w:highlight w:val="none"/>
        </w:rPr>
        <w:t>需求</w:t>
      </w:r>
      <w:bookmarkEnd w:id="61"/>
      <w:bookmarkEnd w:id="62"/>
    </w:p>
    <w:p w14:paraId="09E097BE">
      <w:pPr>
        <w:widowControl w:val="0"/>
        <w:kinsoku/>
        <w:wordWrap/>
        <w:overflowPunct/>
        <w:topLinePunct w:val="0"/>
        <w:autoSpaceDE/>
        <w:autoSpaceDN/>
        <w:bidi w:val="0"/>
        <w:adjustRightInd/>
        <w:snapToGrid w:val="0"/>
        <w:spacing w:line="500" w:lineRule="exact"/>
        <w:ind w:firstLine="422" w:firstLineChars="200"/>
        <w:textAlignment w:val="auto"/>
        <w:rPr>
          <w:rFonts w:ascii="宋体"/>
          <w:b/>
          <w:color w:val="auto"/>
          <w:sz w:val="21"/>
          <w:szCs w:val="21"/>
          <w:highlight w:val="none"/>
        </w:rPr>
      </w:pPr>
      <w:bookmarkStart w:id="63" w:name="_Toc516989213"/>
      <w:bookmarkStart w:id="64" w:name="_Toc5006885"/>
      <w:bookmarkStart w:id="65" w:name="_Toc441065663"/>
      <w:bookmarkStart w:id="66" w:name="_Toc6232092"/>
      <w:bookmarkStart w:id="67" w:name="_Toc78194437"/>
      <w:bookmarkStart w:id="68" w:name="_Toc12789058"/>
      <w:r>
        <w:rPr>
          <w:rFonts w:hint="eastAsia" w:ascii="宋体"/>
          <w:b/>
          <w:color w:val="auto"/>
          <w:sz w:val="21"/>
          <w:szCs w:val="21"/>
          <w:highlight w:val="none"/>
        </w:rPr>
        <w:t>“※”标注的要求为符合性审查中的实质性要求，响应文件若不满足按</w:t>
      </w:r>
      <w:r>
        <w:rPr>
          <w:rFonts w:hint="eastAsia" w:ascii="宋体"/>
          <w:b/>
          <w:color w:val="auto"/>
          <w:sz w:val="21"/>
          <w:szCs w:val="21"/>
          <w:highlight w:val="none"/>
          <w:lang w:val="en-US" w:eastAsia="zh-CN"/>
        </w:rPr>
        <w:t>否决响应文件</w:t>
      </w:r>
      <w:r>
        <w:rPr>
          <w:rFonts w:hint="eastAsia" w:ascii="宋体"/>
          <w:b/>
          <w:color w:val="auto"/>
          <w:sz w:val="21"/>
          <w:szCs w:val="21"/>
          <w:highlight w:val="none"/>
        </w:rPr>
        <w:t>处理。</w:t>
      </w:r>
    </w:p>
    <w:p w14:paraId="0C56930C">
      <w:pPr>
        <w:widowControl w:val="0"/>
        <w:kinsoku/>
        <w:wordWrap/>
        <w:overflowPunct/>
        <w:topLinePunct w:val="0"/>
        <w:autoSpaceDE/>
        <w:autoSpaceDN/>
        <w:bidi w:val="0"/>
        <w:adjustRightInd/>
        <w:snapToGrid w:val="0"/>
        <w:spacing w:line="500" w:lineRule="exact"/>
        <w:ind w:firstLine="422" w:firstLineChars="200"/>
        <w:textAlignment w:val="auto"/>
        <w:rPr>
          <w:rFonts w:ascii="宋体"/>
          <w:b/>
          <w:color w:val="auto"/>
          <w:sz w:val="21"/>
          <w:szCs w:val="21"/>
          <w:highlight w:val="none"/>
        </w:rPr>
      </w:pPr>
      <w:r>
        <w:rPr>
          <w:rFonts w:hint="eastAsia" w:ascii="宋体"/>
          <w:b/>
          <w:color w:val="auto"/>
          <w:sz w:val="21"/>
          <w:szCs w:val="21"/>
          <w:highlight w:val="none"/>
        </w:rPr>
        <w:t>“★”标注的要求为重要</w:t>
      </w:r>
      <w:r>
        <w:rPr>
          <w:rFonts w:hint="eastAsia" w:ascii="宋体"/>
          <w:b/>
          <w:color w:val="auto"/>
          <w:sz w:val="21"/>
          <w:szCs w:val="21"/>
          <w:highlight w:val="none"/>
          <w:lang w:val="en-US" w:eastAsia="zh-CN"/>
        </w:rPr>
        <w:t>服务</w:t>
      </w:r>
      <w:r>
        <w:rPr>
          <w:rFonts w:hint="eastAsia" w:ascii="宋体"/>
          <w:b/>
          <w:color w:val="auto"/>
          <w:sz w:val="21"/>
          <w:szCs w:val="21"/>
          <w:highlight w:val="none"/>
        </w:rPr>
        <w:t>需求，若不满足将按照评标因素中相关规定处理。</w:t>
      </w:r>
    </w:p>
    <w:bookmarkEnd w:id="63"/>
    <w:bookmarkEnd w:id="64"/>
    <w:bookmarkEnd w:id="65"/>
    <w:bookmarkEnd w:id="66"/>
    <w:bookmarkEnd w:id="67"/>
    <w:p w14:paraId="68065B71">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color w:val="auto"/>
          <w:sz w:val="24"/>
          <w:szCs w:val="24"/>
          <w:highlight w:val="none"/>
        </w:rPr>
      </w:pPr>
      <w:bookmarkStart w:id="69" w:name="_Toc51854592"/>
      <w:bookmarkStart w:id="70" w:name="_Toc98855992"/>
      <w:bookmarkStart w:id="71" w:name="_Toc115344005"/>
      <w:bookmarkStart w:id="72" w:name="_Toc51854594"/>
      <w:bookmarkStart w:id="73" w:name="_Toc82422009"/>
      <w:r>
        <w:rPr>
          <w:rFonts w:hint="eastAsia" w:ascii="宋体" w:hAnsi="宋体"/>
          <w:b/>
          <w:bCs/>
          <w:color w:val="auto"/>
          <w:sz w:val="24"/>
          <w:szCs w:val="24"/>
          <w:highlight w:val="none"/>
        </w:rPr>
        <w:t>※</w:t>
      </w:r>
      <w:r>
        <w:rPr>
          <w:rFonts w:hint="eastAsia" w:ascii="宋体"/>
          <w:color w:val="auto"/>
          <w:sz w:val="24"/>
          <w:szCs w:val="24"/>
          <w:highlight w:val="none"/>
        </w:rPr>
        <w:t>一、</w:t>
      </w:r>
      <w:bookmarkEnd w:id="69"/>
      <w:bookmarkEnd w:id="70"/>
      <w:r>
        <w:rPr>
          <w:rFonts w:hint="eastAsia" w:ascii="宋体"/>
          <w:color w:val="auto"/>
          <w:sz w:val="24"/>
          <w:szCs w:val="24"/>
          <w:highlight w:val="none"/>
        </w:rPr>
        <w:t>项目概况</w:t>
      </w:r>
      <w:bookmarkEnd w:id="71"/>
    </w:p>
    <w:p w14:paraId="27759160">
      <w:pPr>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rPr>
      </w:pPr>
      <w:r>
        <w:rPr>
          <w:rFonts w:hint="eastAsia" w:ascii="宋体" w:hAnsi="宋体"/>
          <w:color w:val="auto"/>
          <w:sz w:val="24"/>
          <w:szCs w:val="24"/>
          <w:highlight w:val="none"/>
        </w:rPr>
        <w:t>为了全面提升我市无线电监测干部人才队伍综合素质，努力打造专业型、复合型干部人才队伍</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重庆市无线电监测站拟于202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color w:val="auto"/>
          <w:sz w:val="24"/>
          <w:szCs w:val="24"/>
          <w:highlight w:val="none"/>
        </w:rPr>
        <w:t>（具体以</w:t>
      </w:r>
      <w:r>
        <w:rPr>
          <w:rFonts w:hint="eastAsia"/>
          <w:color w:val="auto"/>
          <w:sz w:val="24"/>
          <w:szCs w:val="24"/>
          <w:highlight w:val="none"/>
          <w:lang w:val="en-US" w:eastAsia="zh-CN"/>
        </w:rPr>
        <w:t>采购人确定</w:t>
      </w:r>
      <w:r>
        <w:rPr>
          <w:rFonts w:hint="eastAsia"/>
          <w:color w:val="auto"/>
          <w:sz w:val="24"/>
          <w:szCs w:val="24"/>
          <w:highlight w:val="none"/>
        </w:rPr>
        <w:t>时间为准）</w:t>
      </w:r>
      <w:r>
        <w:rPr>
          <w:rFonts w:hint="eastAsia" w:ascii="宋体" w:hAnsi="宋体"/>
          <w:color w:val="auto"/>
          <w:sz w:val="24"/>
          <w:szCs w:val="24"/>
          <w:highlight w:val="none"/>
          <w:lang w:val="en-US" w:eastAsia="zh-CN"/>
        </w:rPr>
        <w:t>举办</w:t>
      </w:r>
      <w:r>
        <w:rPr>
          <w:rFonts w:hint="eastAsia" w:ascii="宋体" w:hAnsi="宋体"/>
          <w:color w:val="auto"/>
          <w:sz w:val="24"/>
          <w:szCs w:val="24"/>
          <w:highlight w:val="none"/>
        </w:rPr>
        <w:t>“重庆市无线电监测站2024年专业技术人才综合素质能力提升专题培训班”</w:t>
      </w:r>
      <w:r>
        <w:rPr>
          <w:rFonts w:hint="eastAsia" w:ascii="宋体" w:hAnsi="宋体"/>
          <w:color w:val="auto"/>
          <w:sz w:val="24"/>
          <w:szCs w:val="24"/>
          <w:highlight w:val="none"/>
          <w:lang w:eastAsia="zh-CN"/>
        </w:rPr>
        <w:t>，</w:t>
      </w:r>
      <w:r>
        <w:rPr>
          <w:rFonts w:hint="eastAsia"/>
          <w:color w:val="auto"/>
          <w:sz w:val="24"/>
          <w:szCs w:val="24"/>
          <w:highlight w:val="none"/>
        </w:rPr>
        <w:t>培训时长约为1周（以</w:t>
      </w:r>
      <w:r>
        <w:rPr>
          <w:rFonts w:hint="eastAsia"/>
          <w:color w:val="auto"/>
          <w:sz w:val="24"/>
          <w:szCs w:val="24"/>
          <w:highlight w:val="none"/>
          <w:lang w:val="en-US" w:eastAsia="zh-CN"/>
        </w:rPr>
        <w:t>采购人</w:t>
      </w:r>
      <w:r>
        <w:rPr>
          <w:rFonts w:hint="eastAsia"/>
          <w:color w:val="auto"/>
          <w:sz w:val="24"/>
          <w:szCs w:val="24"/>
          <w:highlight w:val="none"/>
        </w:rPr>
        <w:t>具体</w:t>
      </w:r>
      <w:r>
        <w:rPr>
          <w:rFonts w:hint="eastAsia"/>
          <w:color w:val="auto"/>
          <w:sz w:val="24"/>
          <w:szCs w:val="24"/>
          <w:highlight w:val="none"/>
          <w:lang w:val="en-US" w:eastAsia="zh-CN"/>
        </w:rPr>
        <w:t>确定</w:t>
      </w:r>
      <w:r>
        <w:rPr>
          <w:rFonts w:hint="eastAsia"/>
          <w:color w:val="auto"/>
          <w:sz w:val="24"/>
          <w:szCs w:val="24"/>
          <w:highlight w:val="none"/>
        </w:rPr>
        <w:t>时间为准）。供应商需配合采购人做好本次</w:t>
      </w:r>
      <w:r>
        <w:rPr>
          <w:rFonts w:hint="eastAsia"/>
          <w:color w:val="auto"/>
          <w:sz w:val="24"/>
          <w:szCs w:val="24"/>
          <w:highlight w:val="none"/>
          <w:lang w:val="en-US" w:eastAsia="zh-CN"/>
        </w:rPr>
        <w:t>培训</w:t>
      </w:r>
      <w:r>
        <w:rPr>
          <w:rFonts w:hint="eastAsia"/>
          <w:color w:val="auto"/>
          <w:sz w:val="24"/>
          <w:szCs w:val="24"/>
          <w:highlight w:val="none"/>
        </w:rPr>
        <w:t>的服务工作。</w:t>
      </w:r>
    </w:p>
    <w:p w14:paraId="5B3E0C9E">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eastAsia" w:ascii="宋体" w:hAnsi="宋体"/>
          <w:b/>
          <w:bCs/>
          <w:color w:val="auto"/>
          <w:sz w:val="24"/>
          <w:szCs w:val="24"/>
          <w:highlight w:val="none"/>
          <w:lang w:val="en-US" w:eastAsia="zh-CN"/>
        </w:rPr>
      </w:pPr>
      <w:bookmarkStart w:id="74" w:name="_Toc115344006"/>
      <w:bookmarkStart w:id="75" w:name="_Toc98855994"/>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指导思想</w:t>
      </w:r>
    </w:p>
    <w:p w14:paraId="6655872B">
      <w:pPr>
        <w:spacing w:line="580" w:lineRule="exact"/>
        <w:ind w:firstLine="480" w:firstLineChars="200"/>
        <w:jc w:val="both"/>
        <w:rPr>
          <w:rFonts w:hint="default"/>
          <w:color w:val="auto"/>
          <w:highlight w:val="none"/>
          <w:lang w:val="en-US" w:eastAsia="zh-CN"/>
        </w:rPr>
      </w:pPr>
      <w:r>
        <w:rPr>
          <w:rFonts w:hint="default"/>
          <w:color w:val="auto"/>
          <w:sz w:val="24"/>
          <w:szCs w:val="24"/>
          <w:highlight w:val="none"/>
          <w:lang w:eastAsia="zh-CN"/>
        </w:rPr>
        <w:t>坚持以习近平新时代中国特色社会主义思想为指导，紧紧围绕“三管理、三服务、一突出”总体要求，提高政治站位，加强组织领导，将理论和实践相结合，提高领导干部的综合业务素质能力以及信息化技术应用能力，进一步树牢理想信念、强化政德素养、提升创新发展能力，坚持不懈推进无线电管理技术支撑工作高质量发展。</w:t>
      </w:r>
    </w:p>
    <w:p w14:paraId="77312BC4">
      <w:pPr>
        <w:pStyle w:val="6"/>
        <w:pageBreakBefore w:val="0"/>
        <w:widowControl w:val="0"/>
        <w:numPr>
          <w:ilvl w:val="0"/>
          <w:numId w:val="14"/>
        </w:numPr>
        <w:kinsoku/>
        <w:wordWrap/>
        <w:overflowPunct/>
        <w:topLinePunct w:val="0"/>
        <w:autoSpaceDE/>
        <w:autoSpaceDN/>
        <w:bidi w:val="0"/>
        <w:adjustRightInd/>
        <w:spacing w:before="0" w:after="0" w:line="500" w:lineRule="exact"/>
        <w:ind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目标任务</w:t>
      </w:r>
    </w:p>
    <w:p w14:paraId="238A83F1">
      <w:pPr>
        <w:spacing w:line="580" w:lineRule="exact"/>
        <w:ind w:firstLine="480" w:firstLineChars="200"/>
        <w:jc w:val="both"/>
        <w:rPr>
          <w:rFonts w:hint="default"/>
          <w:color w:val="auto"/>
          <w:highlight w:val="none"/>
          <w:lang w:val="en-US" w:eastAsia="zh-CN"/>
        </w:rPr>
      </w:pPr>
      <w:r>
        <w:rPr>
          <w:rFonts w:hint="default"/>
          <w:color w:val="auto"/>
          <w:sz w:val="24"/>
          <w:szCs w:val="24"/>
          <w:highlight w:val="none"/>
          <w:lang w:eastAsia="zh-CN"/>
        </w:rPr>
        <w:t>面向我市无线电监测站干部</w:t>
      </w:r>
      <w:r>
        <w:rPr>
          <w:rFonts w:hint="eastAsia"/>
          <w:color w:val="auto"/>
          <w:sz w:val="24"/>
          <w:szCs w:val="24"/>
          <w:highlight w:val="none"/>
          <w:lang w:val="en-US" w:eastAsia="zh-CN"/>
        </w:rPr>
        <w:t>人才</w:t>
      </w:r>
      <w:r>
        <w:rPr>
          <w:rFonts w:hint="default"/>
          <w:color w:val="auto"/>
          <w:sz w:val="24"/>
          <w:szCs w:val="24"/>
          <w:highlight w:val="none"/>
          <w:lang w:eastAsia="zh-CN"/>
        </w:rPr>
        <w:t>队伍，结合培训人员的实际需求，开展“重庆市无线电监测站202</w:t>
      </w:r>
      <w:r>
        <w:rPr>
          <w:rFonts w:hint="default"/>
          <w:color w:val="auto"/>
          <w:sz w:val="24"/>
          <w:szCs w:val="24"/>
          <w:highlight w:val="none"/>
          <w:lang w:val="en-US" w:eastAsia="zh-CN"/>
        </w:rPr>
        <w:t>4</w:t>
      </w:r>
      <w:r>
        <w:rPr>
          <w:rFonts w:hint="default"/>
          <w:color w:val="auto"/>
          <w:sz w:val="24"/>
          <w:szCs w:val="24"/>
          <w:highlight w:val="none"/>
          <w:lang w:eastAsia="zh-CN"/>
        </w:rPr>
        <w:t>年度专业技术人才综合素质能力提升专题培训”，提高培训人员的综合业务素养及工作能力，加强团队协作和沟通能力，助力培训人员提高工作效率、开创工作新局，为无线电管理事业</w:t>
      </w:r>
      <w:r>
        <w:rPr>
          <w:rFonts w:hint="eastAsia"/>
          <w:color w:val="auto"/>
          <w:sz w:val="24"/>
          <w:szCs w:val="24"/>
          <w:highlight w:val="none"/>
          <w:lang w:val="en-US" w:eastAsia="zh-CN"/>
        </w:rPr>
        <w:t>高质量发展</w:t>
      </w:r>
      <w:r>
        <w:rPr>
          <w:rFonts w:hint="default"/>
          <w:color w:val="auto"/>
          <w:sz w:val="24"/>
          <w:szCs w:val="24"/>
          <w:highlight w:val="none"/>
          <w:lang w:eastAsia="zh-CN"/>
        </w:rPr>
        <w:t>做出更大的贡献。</w:t>
      </w:r>
    </w:p>
    <w:p w14:paraId="1D4DAAA9">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default" w:ascii="宋体" w:eastAsia="宋体"/>
          <w:color w:val="auto"/>
          <w:sz w:val="24"/>
          <w:szCs w:val="24"/>
          <w:highlight w:val="none"/>
          <w:lang w:val="en-US" w:eastAsia="zh-CN"/>
        </w:rPr>
      </w:pPr>
      <w:r>
        <w:rPr>
          <w:rFonts w:hint="eastAsia" w:ascii="宋体"/>
          <w:color w:val="auto"/>
          <w:sz w:val="24"/>
          <w:szCs w:val="24"/>
          <w:highlight w:val="none"/>
        </w:rPr>
        <w:t>二、培训</w:t>
      </w:r>
      <w:bookmarkEnd w:id="74"/>
      <w:r>
        <w:rPr>
          <w:rFonts w:hint="eastAsia" w:ascii="宋体"/>
          <w:color w:val="auto"/>
          <w:sz w:val="24"/>
          <w:szCs w:val="24"/>
          <w:highlight w:val="none"/>
          <w:lang w:val="en-US" w:eastAsia="zh-CN"/>
        </w:rPr>
        <w:t>有关事项</w:t>
      </w:r>
    </w:p>
    <w:p w14:paraId="0D7579FB">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w:t>
      </w:r>
      <w:r>
        <w:rPr>
          <w:rFonts w:hint="eastAsia"/>
          <w:color w:val="auto"/>
          <w:sz w:val="24"/>
          <w:szCs w:val="24"/>
          <w:highlight w:val="none"/>
          <w:lang w:eastAsia="zh-CN"/>
        </w:rPr>
        <w:t>（一）培训地点：符合《重庆市市级机关培训费管理办法》（渝财行〔2017〕49号）</w:t>
      </w:r>
      <w:r>
        <w:rPr>
          <w:rFonts w:hint="eastAsia"/>
          <w:color w:val="auto"/>
          <w:sz w:val="24"/>
          <w:szCs w:val="24"/>
          <w:highlight w:val="none"/>
          <w:lang w:val="en-US" w:eastAsia="zh-CN"/>
        </w:rPr>
        <w:t>等文件</w:t>
      </w:r>
      <w:r>
        <w:rPr>
          <w:rFonts w:hint="eastAsia"/>
          <w:color w:val="auto"/>
          <w:sz w:val="24"/>
          <w:szCs w:val="24"/>
          <w:highlight w:val="none"/>
          <w:lang w:eastAsia="zh-CN"/>
        </w:rPr>
        <w:t>规定，培训地点需由采购人予以确认。</w:t>
      </w:r>
    </w:p>
    <w:p w14:paraId="5EC8C838">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）培训</w:t>
      </w:r>
      <w:r>
        <w:rPr>
          <w:rFonts w:hint="eastAsia" w:ascii="宋体" w:hAnsi="宋体"/>
          <w:b/>
          <w:bCs/>
          <w:color w:val="auto"/>
          <w:sz w:val="24"/>
          <w:szCs w:val="24"/>
          <w:highlight w:val="none"/>
          <w:lang w:val="en-US" w:eastAsia="zh-CN"/>
        </w:rPr>
        <w:t>师资</w:t>
      </w:r>
    </w:p>
    <w:p w14:paraId="281FB8F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color w:val="auto"/>
          <w:highlight w:val="none"/>
        </w:rPr>
      </w:pPr>
      <w:r>
        <w:rPr>
          <w:rFonts w:hint="eastAsia" w:ascii="宋体" w:hAnsi="宋体"/>
          <w:color w:val="auto"/>
          <w:sz w:val="24"/>
          <w:szCs w:val="24"/>
          <w:highlight w:val="none"/>
        </w:rPr>
        <w:t>培训教师原则上安排副高级技术职称及以上专业人员、有管理实战经验人员等授课。</w:t>
      </w:r>
    </w:p>
    <w:p w14:paraId="7A5086C0">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）培训</w:t>
      </w:r>
      <w:r>
        <w:rPr>
          <w:rFonts w:hint="eastAsia" w:ascii="宋体" w:hAnsi="宋体"/>
          <w:b/>
          <w:bCs/>
          <w:color w:val="auto"/>
          <w:sz w:val="24"/>
          <w:szCs w:val="24"/>
          <w:highlight w:val="none"/>
          <w:lang w:val="en-US" w:eastAsia="zh-CN"/>
        </w:rPr>
        <w:t>方式</w:t>
      </w:r>
    </w:p>
    <w:p w14:paraId="00A1350A">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以重庆市无线电监测站干部综合素质能力提升为主线，采取培训讲座、现场教学和素质拓展等方式，理论结合实践，提升培训实效。</w:t>
      </w:r>
    </w:p>
    <w:p w14:paraId="6CA39D8B">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）培训</w:t>
      </w:r>
      <w:r>
        <w:rPr>
          <w:rFonts w:hint="eastAsia" w:ascii="宋体" w:hAnsi="宋体"/>
          <w:b/>
          <w:bCs/>
          <w:color w:val="auto"/>
          <w:sz w:val="24"/>
          <w:szCs w:val="24"/>
          <w:highlight w:val="none"/>
          <w:lang w:val="en-US" w:eastAsia="zh-CN"/>
        </w:rPr>
        <w:t>人员及时间</w:t>
      </w:r>
    </w:p>
    <w:p w14:paraId="362908A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本项目培训规模约为5</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人，培训时间为202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暂定，以采购人具体确定时间为准</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5EAEE9F5">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培训服务保障</w:t>
      </w:r>
    </w:p>
    <w:p w14:paraId="28286570">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olor w:val="auto"/>
          <w:sz w:val="24"/>
          <w:szCs w:val="24"/>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lang w:val="en-US" w:eastAsia="zh-CN"/>
        </w:rPr>
        <w:t>供应商需按照政府部门接待相关规定制定住宿、餐饮、会议室租赁、会场布置、现场教学、素质拓展、医疗及其他后勤保障服务规格，不得超过相关接待标准要求。</w:t>
      </w:r>
    </w:p>
    <w:p w14:paraId="237FC434">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1.住宿</w:t>
      </w:r>
    </w:p>
    <w:p w14:paraId="109E02A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负责安排培训期间所有相关人员住宿、餐饮等（以实际参加训练人数为准）</w:t>
      </w:r>
    </w:p>
    <w:p w14:paraId="0D1D193A">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2.会议室租用及会场布置</w:t>
      </w:r>
    </w:p>
    <w:p w14:paraId="04687568">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（1）会议室租用</w:t>
      </w:r>
    </w:p>
    <w:p w14:paraId="6B7983D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提供至少容纳60人的会议室。</w:t>
      </w:r>
    </w:p>
    <w:p w14:paraId="337B722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(2)会场布置</w:t>
      </w:r>
    </w:p>
    <w:p w14:paraId="3606B82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培训期间的场地搭建；提供满足本次培训所有活动现场搭建要求所必备的投影屏幕或LED屏搭建，提供音响设备；负责提供培训手册、宣传资料等，及相关材料排版设计、打印装订等。</w:t>
      </w:r>
    </w:p>
    <w:p w14:paraId="131BB8E1">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3.现场教学</w:t>
      </w:r>
    </w:p>
    <w:p w14:paraId="5595CBC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负责规划现场教学路线，提供车辆接送培训人员，安排教学点参观，确保教学内容与新发展理念紧密结合。</w:t>
      </w:r>
    </w:p>
    <w:p w14:paraId="15ECF74D">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4.素质拓展</w:t>
      </w:r>
    </w:p>
    <w:p w14:paraId="60A8EDD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负责设计和实施不少于半天的素质拓展训练项目，包括活动筹备、场地安排及安全保障。</w:t>
      </w:r>
    </w:p>
    <w:p w14:paraId="1B943FCE">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5.交通</w:t>
      </w:r>
    </w:p>
    <w:p w14:paraId="10BC48FA">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负责安排本次活动期间培训人员及相关人员接送，负责培训所需设备、仪器等物资的运送。</w:t>
      </w:r>
    </w:p>
    <w:p w14:paraId="30F0FD00">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color w:val="auto"/>
          <w:sz w:val="24"/>
          <w:szCs w:val="24"/>
          <w:highlight w:val="none"/>
          <w:lang w:val="en-US" w:eastAsia="zh-CN"/>
        </w:rPr>
      </w:pPr>
      <w:r>
        <w:rPr>
          <w:rFonts w:hint="eastAsia" w:ascii="宋体"/>
          <w:b/>
          <w:color w:val="auto"/>
          <w:sz w:val="21"/>
          <w:szCs w:val="21"/>
          <w:highlight w:val="none"/>
        </w:rPr>
        <w:t>★</w:t>
      </w:r>
      <w:r>
        <w:rPr>
          <w:rFonts w:hint="eastAsia" w:ascii="宋体" w:hAnsi="宋体"/>
          <w:color w:val="auto"/>
          <w:sz w:val="24"/>
          <w:szCs w:val="24"/>
          <w:highlight w:val="none"/>
          <w:lang w:val="en-US" w:eastAsia="zh-CN"/>
        </w:rPr>
        <w:t>6.医疗服务及其他</w:t>
      </w:r>
    </w:p>
    <w:p w14:paraId="73B2F873">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提供培训全程常用药品和饮用水（根据实际情况提供开水、矿泉水）等必备物资及配套基础医疗服务。</w:t>
      </w:r>
    </w:p>
    <w:p w14:paraId="70FAD113">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default"/>
          <w:b w:val="0"/>
          <w:bCs w:val="0"/>
          <w:color w:val="auto"/>
          <w:sz w:val="24"/>
          <w:szCs w:val="24"/>
          <w:highlight w:val="none"/>
          <w:lang w:val="en-US" w:eastAsia="zh-CN"/>
        </w:rPr>
      </w:pPr>
      <w:r>
        <w:rPr>
          <w:rFonts w:hint="eastAsia" w:ascii="宋体"/>
          <w:b/>
          <w:color w:val="auto"/>
          <w:sz w:val="21"/>
          <w:szCs w:val="21"/>
          <w:highlight w:val="none"/>
        </w:rPr>
        <w:t>★</w:t>
      </w:r>
      <w:r>
        <w:rPr>
          <w:rFonts w:hint="eastAsia"/>
          <w:b w:val="0"/>
          <w:bCs w:val="0"/>
          <w:color w:val="auto"/>
          <w:sz w:val="24"/>
          <w:szCs w:val="24"/>
          <w:highlight w:val="none"/>
          <w:lang w:val="en-US" w:eastAsia="zh-CN"/>
        </w:rPr>
        <w:t>7.培训记录</w:t>
      </w:r>
    </w:p>
    <w:p w14:paraId="6EB901B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负责培训现场总结记录拍摄、后期制作总结视频1部，大于3分钟。</w:t>
      </w:r>
    </w:p>
    <w:p w14:paraId="1608DC51">
      <w:pPr>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b w:val="0"/>
          <w:bCs w:val="0"/>
          <w:color w:val="auto"/>
          <w:sz w:val="24"/>
          <w:szCs w:val="24"/>
          <w:highlight w:val="none"/>
          <w:lang w:val="en-US" w:eastAsia="zh-CN"/>
        </w:rPr>
      </w:pPr>
      <w:r>
        <w:rPr>
          <w:rFonts w:hint="eastAsia" w:ascii="宋体"/>
          <w:b/>
          <w:color w:val="auto"/>
          <w:sz w:val="21"/>
          <w:szCs w:val="21"/>
          <w:highlight w:val="none"/>
        </w:rPr>
        <w:t>★</w:t>
      </w:r>
      <w:r>
        <w:rPr>
          <w:rFonts w:hint="eastAsia"/>
          <w:b w:val="0"/>
          <w:bCs w:val="0"/>
          <w:color w:val="auto"/>
          <w:sz w:val="24"/>
          <w:szCs w:val="24"/>
          <w:highlight w:val="none"/>
          <w:lang w:val="en-US" w:eastAsia="zh-CN"/>
        </w:rPr>
        <w:t>8.其他服务内容</w:t>
      </w:r>
    </w:p>
    <w:p w14:paraId="23BA3E1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color w:val="auto"/>
          <w:highlight w:val="none"/>
          <w:lang w:val="en-US"/>
        </w:rPr>
      </w:pPr>
      <w:r>
        <w:rPr>
          <w:rFonts w:hint="eastAsia" w:ascii="宋体" w:hAnsi="宋体"/>
          <w:color w:val="auto"/>
          <w:sz w:val="24"/>
          <w:szCs w:val="24"/>
          <w:highlight w:val="none"/>
          <w:lang w:val="en-US" w:eastAsia="zh-CN"/>
        </w:rPr>
        <w:t>需配合采购人做好综合培训的人员住宿、餐饮安排，以及培训场地选择、培训教师邀请以及相关培训材料撰写等工作。</w:t>
      </w:r>
    </w:p>
    <w:p w14:paraId="7A20A0BD">
      <w:pPr>
        <w:pStyle w:val="6"/>
        <w:pageBreakBefore w:val="0"/>
        <w:widowControl w:val="0"/>
        <w:kinsoku/>
        <w:wordWrap/>
        <w:overflowPunct/>
        <w:topLinePunct w:val="0"/>
        <w:autoSpaceDE/>
        <w:autoSpaceDN/>
        <w:bidi w:val="0"/>
        <w:adjustRightInd/>
        <w:spacing w:before="0" w:after="0" w:line="500" w:lineRule="exact"/>
        <w:ind w:firstLine="422" w:firstLineChars="200"/>
        <w:textAlignment w:val="auto"/>
        <w:rPr>
          <w:rFonts w:hint="default" w:ascii="宋体" w:eastAsia="宋体"/>
          <w:color w:val="auto"/>
          <w:sz w:val="24"/>
          <w:szCs w:val="24"/>
          <w:highlight w:val="none"/>
          <w:lang w:val="en-US" w:eastAsia="zh-CN"/>
        </w:rPr>
      </w:pPr>
      <w:r>
        <w:rPr>
          <w:rFonts w:hint="eastAsia" w:ascii="宋体" w:hAnsi="宋体"/>
          <w:b/>
          <w:bCs/>
          <w:color w:val="auto"/>
          <w:sz w:val="21"/>
          <w:szCs w:val="21"/>
          <w:highlight w:val="none"/>
        </w:rPr>
        <w:t>※</w:t>
      </w:r>
      <w:r>
        <w:rPr>
          <w:rFonts w:hint="eastAsia" w:ascii="宋体"/>
          <w:color w:val="auto"/>
          <w:sz w:val="24"/>
          <w:szCs w:val="24"/>
          <w:highlight w:val="none"/>
          <w:lang w:val="en-US" w:eastAsia="zh-CN"/>
        </w:rPr>
        <w:t>三</w:t>
      </w:r>
      <w:r>
        <w:rPr>
          <w:rFonts w:hint="eastAsia" w:ascii="宋体"/>
          <w:color w:val="auto"/>
          <w:sz w:val="24"/>
          <w:szCs w:val="24"/>
          <w:highlight w:val="none"/>
        </w:rPr>
        <w:t>、培训</w:t>
      </w:r>
      <w:r>
        <w:rPr>
          <w:rFonts w:hint="eastAsia" w:ascii="宋体"/>
          <w:color w:val="auto"/>
          <w:sz w:val="24"/>
          <w:szCs w:val="24"/>
          <w:highlight w:val="none"/>
          <w:lang w:val="en-US" w:eastAsia="zh-CN"/>
        </w:rPr>
        <w:t>内容</w:t>
      </w:r>
    </w:p>
    <w:p w14:paraId="20CD57B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olor w:val="auto"/>
          <w:sz w:val="24"/>
          <w:szCs w:val="24"/>
          <w:highlight w:val="none"/>
          <w:lang w:val="en-US" w:eastAsia="zh-CN"/>
        </w:rPr>
      </w:pPr>
      <w:r>
        <w:rPr>
          <w:rFonts w:hint="eastAsia"/>
          <w:color w:val="auto"/>
          <w:sz w:val="24"/>
          <w:szCs w:val="24"/>
          <w:highlight w:val="none"/>
        </w:rPr>
        <w:t>本次培训</w:t>
      </w:r>
      <w:r>
        <w:rPr>
          <w:rFonts w:hint="eastAsia"/>
          <w:color w:val="auto"/>
          <w:sz w:val="24"/>
          <w:szCs w:val="24"/>
          <w:highlight w:val="none"/>
          <w:lang w:val="en-US" w:eastAsia="zh-CN"/>
        </w:rPr>
        <w:t>包括理论培训和实践培训两个</w:t>
      </w:r>
      <w:r>
        <w:rPr>
          <w:rFonts w:hint="eastAsia"/>
          <w:color w:val="auto"/>
          <w:sz w:val="24"/>
          <w:szCs w:val="24"/>
          <w:highlight w:val="none"/>
        </w:rPr>
        <w:t>方面</w:t>
      </w:r>
      <w:r>
        <w:rPr>
          <w:rFonts w:hint="eastAsia"/>
          <w:color w:val="auto"/>
          <w:sz w:val="24"/>
          <w:szCs w:val="24"/>
          <w:highlight w:val="none"/>
          <w:lang w:eastAsia="zh-CN"/>
        </w:rPr>
        <w:t>。</w:t>
      </w:r>
      <w:r>
        <w:rPr>
          <w:rFonts w:hint="eastAsia" w:ascii="宋体" w:hAnsi="宋体"/>
          <w:color w:val="auto"/>
          <w:sz w:val="24"/>
          <w:szCs w:val="24"/>
          <w:highlight w:val="none"/>
          <w:lang w:val="en-US" w:eastAsia="zh-CN"/>
        </w:rPr>
        <w:t>理论培训课程涉及政治理论、法律法规、专业知识、安全健康</w:t>
      </w:r>
      <w:r>
        <w:rPr>
          <w:rFonts w:hint="eastAsia"/>
          <w:color w:val="auto"/>
          <w:sz w:val="24"/>
          <w:szCs w:val="24"/>
          <w:highlight w:val="none"/>
          <w:lang w:val="en-US" w:eastAsia="zh-CN"/>
        </w:rPr>
        <w:t>三大</w:t>
      </w:r>
      <w:r>
        <w:rPr>
          <w:rFonts w:hint="eastAsia"/>
          <w:color w:val="auto"/>
          <w:sz w:val="24"/>
          <w:szCs w:val="24"/>
          <w:highlight w:val="none"/>
          <w:lang w:eastAsia="zh-CN"/>
        </w:rPr>
        <w:t>领域</w:t>
      </w:r>
      <w:r>
        <w:rPr>
          <w:rFonts w:hint="eastAsia" w:ascii="宋体" w:hAnsi="宋体"/>
          <w:color w:val="auto"/>
          <w:sz w:val="24"/>
          <w:szCs w:val="24"/>
          <w:highlight w:val="none"/>
          <w:lang w:val="en-US" w:eastAsia="zh-CN"/>
        </w:rPr>
        <w:t>，全面提升培训人员综合业务素质能力。实践培训课程分为现场教学和素质拓展两个阶段，现场教学阶段主要通过调研参观中华优秀传统文化、新发展理念先进典型等教学点，近距离触摸历史、学习先进典型、深入理解新发展理念；素质拓展阶段主要通过各类拓展训练项目，激发个人潜能，增强团队活力、凝聚力和创造力。</w:t>
      </w:r>
    </w:p>
    <w:bookmarkEnd w:id="72"/>
    <w:bookmarkEnd w:id="73"/>
    <w:bookmarkEnd w:id="75"/>
    <w:p w14:paraId="3888520A">
      <w:pPr>
        <w:pageBreakBefore w:val="0"/>
        <w:widowControl w:val="0"/>
        <w:numPr>
          <w:ilvl w:val="0"/>
          <w:numId w:val="0"/>
        </w:numPr>
        <w:kinsoku/>
        <w:wordWrap/>
        <w:overflowPunct/>
        <w:topLinePunct w:val="0"/>
        <w:autoSpaceDE/>
        <w:autoSpaceDN/>
        <w:bidi w:val="0"/>
        <w:adjustRightInd/>
        <w:snapToGrid w:val="0"/>
        <w:spacing w:line="500" w:lineRule="exact"/>
        <w:ind w:firstLine="422" w:firstLineChars="200"/>
        <w:textAlignment w:val="auto"/>
        <w:rPr>
          <w:rFonts w:hint="default" w:ascii="宋体" w:hAnsi="宋体" w:eastAsia="宋体"/>
          <w:b/>
          <w:bCs/>
          <w:color w:val="auto"/>
          <w:sz w:val="24"/>
          <w:szCs w:val="24"/>
          <w:highlight w:val="none"/>
          <w:lang w:val="en-US" w:eastAsia="zh-CN"/>
        </w:rPr>
      </w:pPr>
      <w:r>
        <w:rPr>
          <w:rFonts w:hint="eastAsia" w:ascii="宋体" w:hAnsi="宋体"/>
          <w:b/>
          <w:bCs/>
          <w:color w:val="auto"/>
          <w:sz w:val="21"/>
          <w:szCs w:val="21"/>
          <w:highlight w:val="none"/>
        </w:rPr>
        <w:t>※</w:t>
      </w:r>
      <w:r>
        <w:rPr>
          <w:rFonts w:hint="eastAsia" w:ascii="宋体" w:hAnsi="宋体"/>
          <w:b/>
          <w:bCs/>
          <w:color w:val="auto"/>
          <w:sz w:val="24"/>
          <w:szCs w:val="24"/>
          <w:highlight w:val="none"/>
          <w:lang w:val="en-US" w:eastAsia="zh-CN"/>
        </w:rPr>
        <w:t>四</w:t>
      </w:r>
      <w:r>
        <w:rPr>
          <w:rFonts w:hint="eastAsia" w:ascii="宋体" w:hAnsi="宋体"/>
          <w:b/>
          <w:bCs/>
          <w:color w:val="auto"/>
          <w:sz w:val="21"/>
          <w:szCs w:val="21"/>
          <w:highlight w:val="none"/>
          <w:lang w:val="en-US" w:eastAsia="zh-CN"/>
        </w:rPr>
        <w:t>、</w:t>
      </w:r>
      <w:r>
        <w:rPr>
          <w:rFonts w:hint="eastAsia" w:ascii="宋体" w:hAnsi="宋体"/>
          <w:b/>
          <w:bCs/>
          <w:color w:val="auto"/>
          <w:sz w:val="24"/>
          <w:szCs w:val="24"/>
          <w:highlight w:val="none"/>
          <w:lang w:val="en-US" w:eastAsia="zh-CN"/>
        </w:rPr>
        <w:t>培训内容</w:t>
      </w:r>
    </w:p>
    <w:p w14:paraId="320C9688">
      <w:pPr>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ascii="宋体"/>
          <w:color w:val="auto"/>
          <w:sz w:val="24"/>
          <w:szCs w:val="24"/>
          <w:highlight w:val="none"/>
        </w:rPr>
      </w:pPr>
      <w:r>
        <w:rPr>
          <w:rFonts w:hint="eastAsia"/>
          <w:color w:val="auto"/>
          <w:sz w:val="24"/>
          <w:szCs w:val="24"/>
          <w:highlight w:val="none"/>
        </w:rPr>
        <w:t>本次培训包括理论培训和实践培训两个方面。理论培训课程涉及思想理论、职场素养、专业知识、安全健康等领域，全面提升培训人员综合业务素质能力。实践培训课程分为现场教学和素质拓展两个阶段，现场教学阶段主要通过调研参观中华优秀传统文化、新发展理念先进典型等教学点，近距离触摸历史、学习先进典型、深入理解新发展理念；素质拓展阶段主要通过各类拓展训练项目，激发个人潜能，增强团队活力、凝聚力和创造力。</w:t>
      </w:r>
    </w:p>
    <w:p w14:paraId="43E18199">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default" w:ascii="宋体"/>
          <w:color w:val="auto"/>
          <w:sz w:val="24"/>
          <w:szCs w:val="24"/>
          <w:highlight w:val="none"/>
          <w:lang w:val="en-US" w:eastAsia="zh-CN"/>
        </w:rPr>
      </w:pPr>
      <w:bookmarkStart w:id="76" w:name="_Toc115344008"/>
      <w:r>
        <w:rPr>
          <w:rFonts w:hint="eastAsia" w:ascii="宋体"/>
          <w:color w:val="auto"/>
          <w:sz w:val="24"/>
          <w:szCs w:val="24"/>
          <w:highlight w:val="none"/>
          <w:lang w:val="en-US" w:eastAsia="zh-CN"/>
        </w:rPr>
        <w:t>※五、组织纪律</w:t>
      </w:r>
    </w:p>
    <w:p w14:paraId="55739278">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color w:val="auto"/>
          <w:sz w:val="24"/>
          <w:szCs w:val="24"/>
          <w:highlight w:val="none"/>
          <w:lang w:eastAsia="zh-CN"/>
        </w:rPr>
      </w:pPr>
      <w:r>
        <w:rPr>
          <w:rFonts w:hint="default"/>
          <w:color w:val="auto"/>
          <w:sz w:val="24"/>
          <w:szCs w:val="24"/>
          <w:highlight w:val="none"/>
          <w:lang w:eastAsia="zh-CN"/>
        </w:rPr>
        <w:t>（一）学员在培训期间全程军事化管理，要严守政治纪律、组织纪律、廉政纪律和保密纪律，严守培训单位的管理规章制度。</w:t>
      </w:r>
    </w:p>
    <w:p w14:paraId="7A35B0B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color w:val="auto"/>
          <w:sz w:val="24"/>
          <w:szCs w:val="24"/>
          <w:highlight w:val="none"/>
          <w:lang w:eastAsia="zh-CN"/>
        </w:rPr>
      </w:pPr>
      <w:r>
        <w:rPr>
          <w:rFonts w:hint="default"/>
          <w:color w:val="auto"/>
          <w:sz w:val="24"/>
          <w:szCs w:val="24"/>
          <w:highlight w:val="none"/>
          <w:lang w:eastAsia="zh-CN"/>
        </w:rPr>
        <w:t>（二）学员必须无条件服从培训班的统一指挥和管理，培训期间不得请假，遇特殊情况请假一天及以上，须报备并通过批准。</w:t>
      </w:r>
    </w:p>
    <w:p w14:paraId="49A1E28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b/>
          <w:bCs/>
          <w:color w:val="auto"/>
          <w:sz w:val="21"/>
          <w:szCs w:val="21"/>
          <w:highlight w:val="none"/>
        </w:rPr>
      </w:pPr>
      <w:r>
        <w:rPr>
          <w:rFonts w:hint="default"/>
          <w:color w:val="auto"/>
          <w:sz w:val="24"/>
          <w:szCs w:val="24"/>
          <w:highlight w:val="none"/>
          <w:lang w:eastAsia="zh-CN"/>
        </w:rPr>
        <w:t>（三）学员要严格遵守班级纪律、课堂纪律，认真听课、认真思考、认真做好学习笔记，培训结束后认真总结。</w:t>
      </w:r>
    </w:p>
    <w:p w14:paraId="5CC646FF">
      <w:pPr>
        <w:pStyle w:val="6"/>
        <w:pageBreakBefore w:val="0"/>
        <w:widowControl w:val="0"/>
        <w:kinsoku/>
        <w:wordWrap/>
        <w:overflowPunct/>
        <w:topLinePunct w:val="0"/>
        <w:autoSpaceDE/>
        <w:autoSpaceDN/>
        <w:bidi w:val="0"/>
        <w:adjustRightInd/>
        <w:spacing w:before="0" w:after="0" w:line="500" w:lineRule="exact"/>
        <w:ind w:firstLine="422" w:firstLineChars="200"/>
        <w:textAlignment w:val="auto"/>
        <w:rPr>
          <w:rFonts w:ascii="宋体"/>
          <w:color w:val="auto"/>
          <w:sz w:val="24"/>
          <w:szCs w:val="24"/>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六</w:t>
      </w:r>
      <w:r>
        <w:rPr>
          <w:rFonts w:hint="eastAsia" w:ascii="宋体"/>
          <w:color w:val="auto"/>
          <w:sz w:val="24"/>
          <w:szCs w:val="24"/>
          <w:highlight w:val="none"/>
        </w:rPr>
        <w:t>、其他</w:t>
      </w:r>
      <w:bookmarkEnd w:id="76"/>
    </w:p>
    <w:p w14:paraId="130095BD">
      <w:pPr>
        <w:pageBreakBefore w:val="0"/>
        <w:widowControl w:val="0"/>
        <w:kinsoku/>
        <w:wordWrap/>
        <w:overflowPunct/>
        <w:topLinePunct w:val="0"/>
        <w:autoSpaceDE/>
        <w:autoSpaceDN/>
        <w:bidi w:val="0"/>
        <w:adjustRightInd/>
        <w:snapToGrid w:val="0"/>
        <w:spacing w:line="500" w:lineRule="exact"/>
        <w:ind w:firstLine="480" w:firstLineChars="200"/>
        <w:textAlignment w:val="auto"/>
        <w:rPr>
          <w:color w:val="auto"/>
          <w:sz w:val="24"/>
          <w:szCs w:val="24"/>
          <w:highlight w:val="none"/>
        </w:rPr>
      </w:pPr>
      <w:r>
        <w:rPr>
          <w:rFonts w:hint="eastAsia"/>
          <w:color w:val="auto"/>
          <w:sz w:val="24"/>
          <w:szCs w:val="24"/>
          <w:highlight w:val="none"/>
        </w:rPr>
        <w:t>（一）提供培训筹备实施计划进度表、人员分工明细表，要求安排详细合理，分工明确。</w:t>
      </w:r>
    </w:p>
    <w:p w14:paraId="539B1D40">
      <w:pPr>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color w:val="auto"/>
          <w:sz w:val="24"/>
          <w:szCs w:val="24"/>
          <w:highlight w:val="none"/>
        </w:rPr>
      </w:pPr>
      <w:r>
        <w:rPr>
          <w:rFonts w:hint="eastAsia"/>
          <w:color w:val="auto"/>
          <w:sz w:val="24"/>
          <w:szCs w:val="24"/>
          <w:highlight w:val="none"/>
        </w:rPr>
        <w:t>（二）成交供应商在竞争性磋商文件及合同约定服务范围以内不得向参训人收取任何有关费用。</w:t>
      </w:r>
    </w:p>
    <w:p w14:paraId="3E50D61C">
      <w:pPr>
        <w:pStyle w:val="5"/>
        <w:pageBreakBefore/>
        <w:spacing w:line="360" w:lineRule="auto"/>
        <w:jc w:val="center"/>
        <w:rPr>
          <w:rFonts w:ascii="宋体" w:eastAsia="宋体"/>
          <w:b/>
          <w:bCs w:val="0"/>
          <w:color w:val="auto"/>
          <w:sz w:val="32"/>
          <w:szCs w:val="28"/>
          <w:highlight w:val="none"/>
        </w:rPr>
      </w:pPr>
      <w:bookmarkStart w:id="77" w:name="_Toc16422"/>
      <w:r>
        <w:rPr>
          <w:rFonts w:hint="eastAsia" w:ascii="宋体" w:eastAsia="宋体"/>
          <w:b/>
          <w:bCs w:val="0"/>
          <w:color w:val="auto"/>
          <w:sz w:val="32"/>
          <w:szCs w:val="28"/>
          <w:highlight w:val="none"/>
        </w:rPr>
        <w:t>第三篇  项目商务需求</w:t>
      </w:r>
      <w:bookmarkEnd w:id="68"/>
      <w:bookmarkEnd w:id="77"/>
    </w:p>
    <w:p w14:paraId="4226D0C2">
      <w:pPr>
        <w:pStyle w:val="6"/>
        <w:spacing w:before="0" w:after="0" w:line="360" w:lineRule="auto"/>
        <w:ind w:firstLine="482" w:firstLineChars="200"/>
        <w:rPr>
          <w:rFonts w:hint="eastAsia"/>
          <w:color w:val="auto"/>
          <w:sz w:val="24"/>
          <w:szCs w:val="24"/>
          <w:highlight w:val="none"/>
        </w:rPr>
      </w:pPr>
      <w:bookmarkStart w:id="78" w:name="_Toc267320049"/>
      <w:bookmarkStart w:id="79" w:name="_Toc51854596"/>
      <w:bookmarkStart w:id="80" w:name="_Toc98855996"/>
      <w:bookmarkStart w:id="81" w:name="_Toc484611845"/>
      <w:bookmarkStart w:id="82" w:name="_Toc115344010"/>
      <w:bookmarkStart w:id="83" w:name="_Toc82422011"/>
      <w:bookmarkStart w:id="84" w:name="_Toc14860569"/>
      <w:bookmarkStart w:id="85" w:name="_Toc24886"/>
      <w:bookmarkStart w:id="86" w:name="_Toc22071"/>
      <w:bookmarkStart w:id="87" w:name="_Toc18599"/>
      <w:bookmarkStart w:id="88" w:name="_Toc12574"/>
      <w:r>
        <w:rPr>
          <w:rFonts w:hint="eastAsia"/>
          <w:color w:val="auto"/>
          <w:sz w:val="24"/>
          <w:szCs w:val="24"/>
          <w:highlight w:val="none"/>
        </w:rPr>
        <w:t>“※”标注的要求为符合性审查中的实质性要求，响应文件若不满足按</w:t>
      </w:r>
      <w:r>
        <w:rPr>
          <w:rFonts w:hint="eastAsia"/>
          <w:color w:val="auto"/>
          <w:sz w:val="24"/>
          <w:szCs w:val="24"/>
          <w:highlight w:val="none"/>
          <w:lang w:val="en-US" w:eastAsia="zh-CN"/>
        </w:rPr>
        <w:t>否决响应文件</w:t>
      </w:r>
      <w:r>
        <w:rPr>
          <w:rFonts w:hint="eastAsia"/>
          <w:color w:val="auto"/>
          <w:sz w:val="24"/>
          <w:szCs w:val="24"/>
          <w:highlight w:val="none"/>
        </w:rPr>
        <w:t>处理。</w:t>
      </w:r>
      <w:bookmarkEnd w:id="78"/>
    </w:p>
    <w:p w14:paraId="0C9F874F">
      <w:pPr>
        <w:pStyle w:val="6"/>
        <w:spacing w:before="0" w:after="0" w:line="360" w:lineRule="auto"/>
        <w:ind w:firstLine="422" w:firstLineChars="200"/>
        <w:rPr>
          <w:color w:val="auto"/>
          <w:sz w:val="24"/>
          <w:szCs w:val="24"/>
          <w:highlight w:val="none"/>
        </w:rPr>
      </w:pPr>
      <w:r>
        <w:rPr>
          <w:rFonts w:hint="eastAsia" w:ascii="宋体"/>
          <w:b/>
          <w:color w:val="auto"/>
          <w:sz w:val="21"/>
          <w:szCs w:val="21"/>
          <w:highlight w:val="none"/>
        </w:rPr>
        <w:t>※</w:t>
      </w:r>
      <w:r>
        <w:rPr>
          <w:rFonts w:hint="eastAsia"/>
          <w:color w:val="auto"/>
          <w:sz w:val="24"/>
          <w:szCs w:val="24"/>
          <w:highlight w:val="none"/>
        </w:rPr>
        <w:t>一、服务时间、地点及验收方式</w:t>
      </w:r>
      <w:bookmarkEnd w:id="79"/>
      <w:bookmarkEnd w:id="80"/>
      <w:bookmarkEnd w:id="81"/>
      <w:bookmarkEnd w:id="82"/>
      <w:bookmarkEnd w:id="83"/>
      <w:bookmarkEnd w:id="84"/>
    </w:p>
    <w:p w14:paraId="06A71A36">
      <w:pPr>
        <w:snapToGrid w:val="0"/>
        <w:spacing w:line="360" w:lineRule="auto"/>
        <w:ind w:firstLine="482" w:firstLineChars="200"/>
        <w:rPr>
          <w:b/>
          <w:bCs/>
          <w:color w:val="auto"/>
          <w:sz w:val="24"/>
          <w:szCs w:val="24"/>
          <w:highlight w:val="none"/>
        </w:rPr>
      </w:pPr>
      <w:bookmarkStart w:id="89" w:name="_Toc344475121"/>
      <w:r>
        <w:rPr>
          <w:rFonts w:hint="eastAsia"/>
          <w:b/>
          <w:bCs/>
          <w:color w:val="auto"/>
          <w:sz w:val="24"/>
          <w:szCs w:val="24"/>
          <w:highlight w:val="none"/>
        </w:rPr>
        <w:t>（一）服务时间：</w:t>
      </w:r>
    </w:p>
    <w:p w14:paraId="72B39590">
      <w:pPr>
        <w:snapToGrid w:val="0"/>
        <w:spacing w:line="360" w:lineRule="auto"/>
        <w:ind w:firstLine="480" w:firstLineChars="200"/>
        <w:rPr>
          <w:color w:val="auto"/>
          <w:sz w:val="24"/>
          <w:szCs w:val="24"/>
          <w:highlight w:val="none"/>
        </w:rPr>
      </w:pPr>
      <w:r>
        <w:rPr>
          <w:rFonts w:hint="eastAsia"/>
          <w:color w:val="auto"/>
          <w:sz w:val="24"/>
          <w:szCs w:val="24"/>
          <w:highlight w:val="none"/>
        </w:rPr>
        <w:t>合同签订之日起至验收完成之日止。</w:t>
      </w:r>
    </w:p>
    <w:p w14:paraId="57740DA7">
      <w:pPr>
        <w:snapToGrid w:val="0"/>
        <w:spacing w:line="360" w:lineRule="auto"/>
        <w:ind w:firstLine="482" w:firstLineChars="200"/>
        <w:rPr>
          <w:b/>
          <w:bCs/>
          <w:color w:val="auto"/>
          <w:sz w:val="24"/>
          <w:szCs w:val="24"/>
          <w:highlight w:val="none"/>
        </w:rPr>
      </w:pPr>
      <w:r>
        <w:rPr>
          <w:rFonts w:hint="eastAsia"/>
          <w:b/>
          <w:bCs/>
          <w:color w:val="auto"/>
          <w:sz w:val="24"/>
          <w:szCs w:val="24"/>
          <w:highlight w:val="none"/>
        </w:rPr>
        <w:t>（二）地点：</w:t>
      </w:r>
    </w:p>
    <w:p w14:paraId="10A4EC04">
      <w:pPr>
        <w:snapToGrid w:val="0"/>
        <w:spacing w:line="360" w:lineRule="auto"/>
        <w:ind w:firstLine="480" w:firstLineChars="200"/>
        <w:rPr>
          <w:color w:val="auto"/>
          <w:sz w:val="24"/>
          <w:szCs w:val="24"/>
          <w:highlight w:val="none"/>
        </w:rPr>
      </w:pPr>
      <w:r>
        <w:rPr>
          <w:rFonts w:hint="eastAsia"/>
          <w:color w:val="auto"/>
          <w:sz w:val="24"/>
          <w:szCs w:val="24"/>
          <w:highlight w:val="none"/>
        </w:rPr>
        <w:t>重庆市无线电监测站同意或指定地点。</w:t>
      </w:r>
    </w:p>
    <w:p w14:paraId="3896CA68">
      <w:pPr>
        <w:snapToGrid w:val="0"/>
        <w:spacing w:line="360" w:lineRule="auto"/>
        <w:ind w:firstLine="482" w:firstLineChars="200"/>
        <w:rPr>
          <w:b/>
          <w:bCs/>
          <w:color w:val="auto"/>
          <w:sz w:val="24"/>
          <w:szCs w:val="24"/>
          <w:highlight w:val="none"/>
        </w:rPr>
      </w:pPr>
      <w:r>
        <w:rPr>
          <w:rFonts w:hint="eastAsia"/>
          <w:b/>
          <w:bCs/>
          <w:color w:val="auto"/>
          <w:sz w:val="24"/>
          <w:szCs w:val="24"/>
          <w:highlight w:val="none"/>
        </w:rPr>
        <w:t>（三）验收方式：</w:t>
      </w:r>
    </w:p>
    <w:p w14:paraId="4AC95690">
      <w:pPr>
        <w:snapToGrid w:val="0"/>
        <w:spacing w:line="360" w:lineRule="auto"/>
        <w:ind w:firstLine="480" w:firstLineChars="200"/>
        <w:rPr>
          <w:color w:val="auto"/>
          <w:sz w:val="24"/>
          <w:szCs w:val="24"/>
          <w:highlight w:val="none"/>
        </w:rPr>
      </w:pPr>
      <w:r>
        <w:rPr>
          <w:rFonts w:hint="eastAsia"/>
          <w:color w:val="auto"/>
          <w:sz w:val="24"/>
          <w:szCs w:val="24"/>
          <w:highlight w:val="none"/>
        </w:rPr>
        <w:t>1.验收单位：重庆市无线电监测站。</w:t>
      </w:r>
    </w:p>
    <w:p w14:paraId="65DC4EFA">
      <w:pPr>
        <w:snapToGrid w:val="0"/>
        <w:spacing w:line="360" w:lineRule="auto"/>
        <w:ind w:firstLine="480" w:firstLineChars="200"/>
        <w:rPr>
          <w:color w:val="auto"/>
          <w:sz w:val="24"/>
          <w:szCs w:val="24"/>
          <w:highlight w:val="none"/>
        </w:rPr>
      </w:pPr>
      <w:r>
        <w:rPr>
          <w:rFonts w:hint="eastAsia"/>
          <w:color w:val="auto"/>
          <w:sz w:val="24"/>
          <w:szCs w:val="24"/>
          <w:highlight w:val="none"/>
        </w:rPr>
        <w:t>2.验收标准：</w:t>
      </w:r>
      <w:r>
        <w:rPr>
          <w:rFonts w:hint="eastAsia"/>
          <w:color w:val="auto"/>
          <w:sz w:val="24"/>
          <w:szCs w:val="24"/>
          <w:highlight w:val="none"/>
          <w:lang w:val="en-US" w:eastAsia="zh-CN"/>
        </w:rPr>
        <w:t>按照国家及行业相关标准、竞争性磋商文件规定在7个工作日内对成交供应商的完成情况进行验收，如验收达不到相关规定要求，视为该项目验收不合格，采购人有权立即终止合同。由此对采购人造成一定的损失，成交供应商应承担一切责任，并赔偿所造成的损失。</w:t>
      </w:r>
    </w:p>
    <w:p w14:paraId="7D1B834F">
      <w:pPr>
        <w:pStyle w:val="6"/>
        <w:spacing w:before="0" w:after="0" w:line="360" w:lineRule="auto"/>
        <w:ind w:firstLine="422" w:firstLineChars="200"/>
        <w:rPr>
          <w:color w:val="auto"/>
          <w:sz w:val="24"/>
          <w:szCs w:val="24"/>
          <w:highlight w:val="none"/>
        </w:rPr>
      </w:pPr>
      <w:bookmarkStart w:id="90" w:name="_Toc51854597"/>
      <w:bookmarkStart w:id="91" w:name="_Toc98855997"/>
      <w:bookmarkStart w:id="92" w:name="_Toc484611846"/>
      <w:bookmarkStart w:id="93" w:name="_Toc14860570"/>
      <w:bookmarkStart w:id="94" w:name="_Toc82422012"/>
      <w:bookmarkStart w:id="95" w:name="_Toc115344011"/>
      <w:r>
        <w:rPr>
          <w:rFonts w:hint="eastAsia" w:ascii="宋体"/>
          <w:b/>
          <w:color w:val="auto"/>
          <w:sz w:val="21"/>
          <w:szCs w:val="21"/>
          <w:highlight w:val="none"/>
        </w:rPr>
        <w:t>※</w:t>
      </w:r>
      <w:r>
        <w:rPr>
          <w:rFonts w:hint="eastAsia"/>
          <w:color w:val="auto"/>
          <w:sz w:val="24"/>
          <w:szCs w:val="24"/>
          <w:highlight w:val="none"/>
        </w:rPr>
        <w:t>二、</w:t>
      </w:r>
      <w:bookmarkEnd w:id="89"/>
      <w:r>
        <w:rPr>
          <w:rFonts w:hint="eastAsia"/>
          <w:color w:val="auto"/>
          <w:sz w:val="24"/>
          <w:szCs w:val="24"/>
          <w:highlight w:val="none"/>
        </w:rPr>
        <w:t>报价要求</w:t>
      </w:r>
      <w:bookmarkEnd w:id="90"/>
      <w:bookmarkEnd w:id="91"/>
      <w:bookmarkEnd w:id="92"/>
      <w:bookmarkEnd w:id="93"/>
      <w:bookmarkEnd w:id="94"/>
      <w:bookmarkEnd w:id="95"/>
    </w:p>
    <w:p w14:paraId="332C2065">
      <w:pPr>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（一）</w:t>
      </w:r>
      <w:r>
        <w:rPr>
          <w:rFonts w:hint="eastAsia"/>
          <w:color w:val="auto"/>
          <w:sz w:val="24"/>
          <w:szCs w:val="24"/>
          <w:highlight w:val="none"/>
          <w:lang w:val="en-US" w:eastAsia="zh-CN"/>
        </w:rPr>
        <w:t>本项目采购总价包干，磋商</w:t>
      </w:r>
      <w:r>
        <w:rPr>
          <w:rFonts w:hint="eastAsia"/>
          <w:color w:val="auto"/>
          <w:sz w:val="24"/>
          <w:szCs w:val="24"/>
          <w:highlight w:val="none"/>
        </w:rPr>
        <w:t>报价包括完成本项目所需的包括（但不限于）住宿费、伙食费、培训场地、资料和交通费、其他费用、师资费、医疗费、宣传费、预算审计费等所有费用。因成交供应商自身原因造成漏报、少报皆由其自行承担责任，采购人不再补偿。</w:t>
      </w:r>
    </w:p>
    <w:p w14:paraId="22E7B5BC">
      <w:pPr>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（二）供应商应在响应文件中提供本次活动详细的</w:t>
      </w:r>
      <w:r>
        <w:rPr>
          <w:rFonts w:hint="eastAsia"/>
          <w:color w:val="auto"/>
          <w:sz w:val="24"/>
          <w:szCs w:val="24"/>
          <w:highlight w:val="none"/>
          <w:lang w:val="en-US" w:eastAsia="zh-CN"/>
        </w:rPr>
        <w:t>报价明细</w:t>
      </w:r>
      <w:r>
        <w:rPr>
          <w:rFonts w:hint="eastAsia"/>
          <w:color w:val="auto"/>
          <w:sz w:val="24"/>
          <w:szCs w:val="24"/>
          <w:highlight w:val="none"/>
        </w:rPr>
        <w:t>表，列明各分项活动涉及的费用明细，及其他预计会涉及的费用明细。要求列支项目详细，费用细致，</w:t>
      </w:r>
      <w:r>
        <w:rPr>
          <w:rFonts w:hint="eastAsia"/>
          <w:color w:val="auto"/>
          <w:sz w:val="24"/>
          <w:szCs w:val="24"/>
          <w:highlight w:val="none"/>
          <w:lang w:val="en-US" w:eastAsia="zh-CN"/>
        </w:rPr>
        <w:t>报价</w:t>
      </w:r>
      <w:r>
        <w:rPr>
          <w:rFonts w:hint="eastAsia"/>
          <w:color w:val="auto"/>
          <w:sz w:val="24"/>
          <w:szCs w:val="24"/>
          <w:highlight w:val="none"/>
        </w:rPr>
        <w:t>合理。</w:t>
      </w:r>
    </w:p>
    <w:p w14:paraId="70470F08">
      <w:pPr>
        <w:snapToGrid w:val="0"/>
        <w:spacing w:line="360" w:lineRule="auto"/>
        <w:ind w:firstLine="480" w:firstLineChars="200"/>
        <w:rPr>
          <w:rFonts w:hint="default"/>
          <w:color w:val="auto"/>
          <w:sz w:val="24"/>
          <w:szCs w:val="24"/>
          <w:highlight w:val="none"/>
          <w:lang w:val="en-US" w:eastAsia="zh-CN"/>
        </w:rPr>
      </w:pPr>
      <w:bookmarkStart w:id="96" w:name="_Toc484611849"/>
      <w:bookmarkStart w:id="97" w:name="_Toc14860571"/>
      <w:bookmarkStart w:id="98" w:name="_Toc98855998"/>
      <w:bookmarkStart w:id="99" w:name="_Toc141871219"/>
      <w:bookmarkStart w:id="100" w:name="_Toc82422013"/>
      <w:bookmarkStart w:id="101" w:name="_Toc51854598"/>
      <w:bookmarkStart w:id="102" w:name="_Toc344475122"/>
      <w:r>
        <w:rPr>
          <w:rFonts w:hint="eastAsia"/>
          <w:color w:val="auto"/>
          <w:sz w:val="24"/>
          <w:szCs w:val="24"/>
          <w:highlight w:val="none"/>
          <w:lang w:eastAsia="zh-CN"/>
        </w:rPr>
        <w:t>（</w:t>
      </w:r>
      <w:r>
        <w:rPr>
          <w:rFonts w:hint="eastAsia"/>
          <w:color w:val="auto"/>
          <w:sz w:val="24"/>
          <w:szCs w:val="24"/>
          <w:highlight w:val="none"/>
          <w:lang w:val="en-US" w:eastAsia="zh-CN"/>
        </w:rPr>
        <w:t>三</w:t>
      </w:r>
      <w:r>
        <w:rPr>
          <w:rFonts w:hint="eastAsia"/>
          <w:color w:val="auto"/>
          <w:sz w:val="24"/>
          <w:szCs w:val="24"/>
          <w:highlight w:val="none"/>
          <w:lang w:eastAsia="zh-CN"/>
        </w:rPr>
        <w:t>）</w:t>
      </w:r>
      <w:r>
        <w:rPr>
          <w:rFonts w:hint="eastAsia"/>
          <w:color w:val="auto"/>
          <w:sz w:val="24"/>
          <w:szCs w:val="24"/>
          <w:highlight w:val="none"/>
          <w:lang w:val="en-US" w:eastAsia="zh-CN"/>
        </w:rPr>
        <w:t>本项目总报价最高限价为23.9万元，磋商总报价不得高于最高限价，否则按否决响应文件处理。</w:t>
      </w:r>
    </w:p>
    <w:p w14:paraId="0824B809">
      <w:pPr>
        <w:pStyle w:val="6"/>
        <w:spacing w:before="0" w:after="0" w:line="360" w:lineRule="auto"/>
        <w:ind w:firstLine="422" w:firstLineChars="200"/>
        <w:rPr>
          <w:color w:val="auto"/>
          <w:sz w:val="24"/>
          <w:szCs w:val="24"/>
          <w:highlight w:val="none"/>
        </w:rPr>
      </w:pPr>
      <w:r>
        <w:rPr>
          <w:rFonts w:hint="eastAsia" w:ascii="宋体"/>
          <w:b/>
          <w:color w:val="auto"/>
          <w:sz w:val="21"/>
          <w:szCs w:val="21"/>
          <w:highlight w:val="none"/>
        </w:rPr>
        <w:t>※</w:t>
      </w:r>
      <w:r>
        <w:rPr>
          <w:rFonts w:hint="eastAsia"/>
          <w:color w:val="auto"/>
          <w:sz w:val="24"/>
          <w:szCs w:val="24"/>
          <w:highlight w:val="none"/>
        </w:rPr>
        <w:t>三、付款方式</w:t>
      </w:r>
      <w:bookmarkEnd w:id="96"/>
      <w:bookmarkEnd w:id="97"/>
      <w:bookmarkEnd w:id="98"/>
      <w:bookmarkEnd w:id="99"/>
      <w:bookmarkEnd w:id="100"/>
      <w:bookmarkEnd w:id="101"/>
      <w:bookmarkEnd w:id="102"/>
    </w:p>
    <w:p w14:paraId="2FCE6564">
      <w:pPr>
        <w:snapToGrid w:val="0"/>
        <w:spacing w:line="360" w:lineRule="auto"/>
        <w:ind w:firstLine="480" w:firstLineChars="200"/>
        <w:rPr>
          <w:color w:val="auto"/>
          <w:sz w:val="24"/>
          <w:szCs w:val="24"/>
          <w:highlight w:val="none"/>
        </w:rPr>
      </w:pPr>
      <w:r>
        <w:rPr>
          <w:rFonts w:hint="eastAsia"/>
          <w:color w:val="auto"/>
          <w:sz w:val="24"/>
          <w:szCs w:val="24"/>
          <w:highlight w:val="none"/>
        </w:rPr>
        <w:t>签订合同后，采购人向成交供应商支付合同金额的100%作为预付款（成交供应商提供相应金额的保函，保函期限不少于</w:t>
      </w:r>
      <w:r>
        <w:rPr>
          <w:color w:val="auto"/>
          <w:sz w:val="24"/>
          <w:szCs w:val="24"/>
          <w:highlight w:val="none"/>
        </w:rPr>
        <w:t>2</w:t>
      </w:r>
      <w:r>
        <w:rPr>
          <w:rFonts w:hint="eastAsia"/>
          <w:color w:val="auto"/>
          <w:sz w:val="24"/>
          <w:szCs w:val="24"/>
          <w:highlight w:val="none"/>
        </w:rPr>
        <w:t>个月）。</w:t>
      </w:r>
    </w:p>
    <w:bookmarkEnd w:id="85"/>
    <w:bookmarkEnd w:id="86"/>
    <w:bookmarkEnd w:id="87"/>
    <w:bookmarkEnd w:id="88"/>
    <w:p w14:paraId="6BF9FBBF">
      <w:pPr>
        <w:pStyle w:val="6"/>
        <w:spacing w:before="0" w:after="0" w:line="360" w:lineRule="auto"/>
        <w:ind w:firstLine="422" w:firstLineChars="200"/>
        <w:rPr>
          <w:color w:val="auto"/>
          <w:sz w:val="24"/>
          <w:szCs w:val="24"/>
          <w:highlight w:val="none"/>
        </w:rPr>
      </w:pPr>
      <w:bookmarkStart w:id="103" w:name="_Toc51854600"/>
      <w:bookmarkStart w:id="104" w:name="_Toc484611850"/>
      <w:bookmarkStart w:id="105" w:name="_Toc141871220"/>
      <w:bookmarkStart w:id="106" w:name="_Toc82422015"/>
      <w:bookmarkStart w:id="107" w:name="_Toc98856000"/>
      <w:bookmarkStart w:id="108" w:name="_Toc14860572"/>
      <w:bookmarkStart w:id="109" w:name="_Toc1547"/>
      <w:r>
        <w:rPr>
          <w:rFonts w:hint="eastAsia" w:ascii="宋体"/>
          <w:b/>
          <w:color w:val="auto"/>
          <w:sz w:val="21"/>
          <w:szCs w:val="21"/>
          <w:highlight w:val="none"/>
        </w:rPr>
        <w:t>※</w:t>
      </w:r>
      <w:r>
        <w:rPr>
          <w:rFonts w:hint="eastAsia"/>
          <w:color w:val="auto"/>
          <w:sz w:val="24"/>
          <w:szCs w:val="24"/>
          <w:highlight w:val="none"/>
        </w:rPr>
        <w:t>四、知识产权</w:t>
      </w:r>
      <w:bookmarkEnd w:id="103"/>
      <w:bookmarkEnd w:id="104"/>
      <w:bookmarkEnd w:id="105"/>
      <w:bookmarkEnd w:id="106"/>
      <w:bookmarkEnd w:id="107"/>
      <w:bookmarkEnd w:id="108"/>
    </w:p>
    <w:p w14:paraId="64012F32">
      <w:pPr>
        <w:snapToGrid w:val="0"/>
        <w:spacing w:line="540" w:lineRule="exact"/>
        <w:ind w:firstLine="480" w:firstLineChars="200"/>
        <w:outlineLvl w:val="0"/>
        <w:rPr>
          <w:rFonts w:hint="eastAsia"/>
          <w:color w:val="auto"/>
          <w:sz w:val="24"/>
          <w:szCs w:val="24"/>
          <w:highlight w:val="none"/>
        </w:rPr>
      </w:pPr>
      <w:r>
        <w:rPr>
          <w:rFonts w:hint="eastAsia"/>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58F8444">
      <w:pPr>
        <w:snapToGrid w:val="0"/>
        <w:spacing w:line="540" w:lineRule="exact"/>
        <w:ind w:firstLine="422" w:firstLineChars="200"/>
        <w:outlineLvl w:val="0"/>
        <w:rPr>
          <w:rFonts w:ascii="宋体" w:hAnsi="宋体" w:cs="宋体"/>
          <w:b/>
          <w:bCs/>
          <w:color w:val="auto"/>
          <w:sz w:val="24"/>
          <w:szCs w:val="24"/>
          <w:highlight w:val="none"/>
        </w:rPr>
      </w:pPr>
      <w:r>
        <w:rPr>
          <w:rFonts w:hint="eastAsia" w:ascii="宋体"/>
          <w:b/>
          <w:color w:val="auto"/>
          <w:sz w:val="21"/>
          <w:szCs w:val="21"/>
          <w:highlight w:val="none"/>
        </w:rPr>
        <w:t>※</w:t>
      </w:r>
      <w:r>
        <w:rPr>
          <w:rFonts w:hint="eastAsia"/>
          <w:b/>
          <w:bCs/>
          <w:color w:val="auto"/>
          <w:sz w:val="24"/>
          <w:szCs w:val="24"/>
          <w:highlight w:val="none"/>
        </w:rPr>
        <w:t>六</w:t>
      </w:r>
      <w:r>
        <w:rPr>
          <w:rFonts w:hint="eastAsia" w:ascii="宋体" w:hAnsi="宋体" w:cs="宋体"/>
          <w:b/>
          <w:bCs/>
          <w:color w:val="auto"/>
          <w:sz w:val="24"/>
          <w:szCs w:val="24"/>
          <w:highlight w:val="none"/>
        </w:rPr>
        <w:t>、保密</w:t>
      </w:r>
      <w:bookmarkEnd w:id="109"/>
    </w:p>
    <w:p w14:paraId="2C8B9BA8">
      <w:pPr>
        <w:snapToGrid w:val="0"/>
        <w:spacing w:line="540" w:lineRule="exact"/>
        <w:ind w:firstLine="480" w:firstLineChars="200"/>
        <w:outlineLvl w:val="0"/>
        <w:rPr>
          <w:color w:val="auto"/>
          <w:sz w:val="24"/>
          <w:szCs w:val="24"/>
          <w:highlight w:val="none"/>
        </w:rPr>
      </w:pPr>
      <w:bookmarkStart w:id="110" w:name="_Toc1877"/>
      <w:r>
        <w:rPr>
          <w:rFonts w:hint="eastAsia"/>
          <w:color w:val="auto"/>
          <w:sz w:val="24"/>
          <w:szCs w:val="24"/>
          <w:highlight w:val="none"/>
        </w:rPr>
        <w:t>成交供应商及其员工不得泄露本项目及采购人单位秘密，否则应承担相应法律责任。</w:t>
      </w:r>
      <w:bookmarkEnd w:id="110"/>
    </w:p>
    <w:p w14:paraId="1054FAE4">
      <w:pPr>
        <w:snapToGrid w:val="0"/>
        <w:spacing w:line="540" w:lineRule="exact"/>
        <w:ind w:firstLine="422" w:firstLineChars="200"/>
        <w:outlineLvl w:val="0"/>
        <w:rPr>
          <w:rFonts w:ascii="宋体" w:hAnsi="宋体" w:cs="宋体"/>
          <w:b/>
          <w:bCs/>
          <w:color w:val="auto"/>
          <w:sz w:val="24"/>
          <w:szCs w:val="24"/>
          <w:highlight w:val="none"/>
        </w:rPr>
      </w:pPr>
      <w:bookmarkStart w:id="111" w:name="_Toc21237"/>
      <w:r>
        <w:rPr>
          <w:rFonts w:hint="eastAsia" w:ascii="宋体"/>
          <w:b/>
          <w:color w:val="auto"/>
          <w:sz w:val="21"/>
          <w:szCs w:val="21"/>
          <w:highlight w:val="none"/>
        </w:rPr>
        <w:t>※</w:t>
      </w:r>
      <w:r>
        <w:rPr>
          <w:rFonts w:hint="eastAsia" w:ascii="宋体" w:hAnsi="宋体" w:cs="宋体"/>
          <w:b/>
          <w:bCs/>
          <w:color w:val="auto"/>
          <w:sz w:val="24"/>
          <w:szCs w:val="24"/>
          <w:highlight w:val="none"/>
        </w:rPr>
        <w:t>七、成交供应商责任</w:t>
      </w:r>
      <w:bookmarkEnd w:id="111"/>
    </w:p>
    <w:p w14:paraId="3CD01187">
      <w:pPr>
        <w:snapToGrid w:val="0"/>
        <w:spacing w:line="540" w:lineRule="exact"/>
        <w:ind w:firstLine="480" w:firstLineChars="200"/>
        <w:outlineLvl w:val="0"/>
        <w:rPr>
          <w:color w:val="auto"/>
          <w:highlight w:val="none"/>
        </w:rPr>
      </w:pPr>
      <w:bookmarkStart w:id="112" w:name="_Toc21127"/>
      <w:r>
        <w:rPr>
          <w:rFonts w:hint="eastAsia" w:ascii="宋体" w:hAnsi="宋体" w:cs="宋体"/>
          <w:color w:val="auto"/>
          <w:kern w:val="0"/>
          <w:sz w:val="24"/>
          <w:szCs w:val="24"/>
          <w:highlight w:val="none"/>
        </w:rPr>
        <w:t>若因成交供应商原因造成数据丢失、数据泄露、重大活动保障期间信息系统崩溃等重大责任事故，成交供应商应承担相应责任。</w:t>
      </w:r>
      <w:bookmarkEnd w:id="112"/>
    </w:p>
    <w:p w14:paraId="167B7B75">
      <w:pPr>
        <w:pStyle w:val="6"/>
        <w:spacing w:before="0" w:after="0" w:line="540" w:lineRule="exact"/>
        <w:ind w:firstLine="422" w:firstLineChars="200"/>
        <w:rPr>
          <w:rFonts w:ascii="宋体" w:hAnsi="宋体" w:cs="宋体"/>
          <w:color w:val="auto"/>
          <w:sz w:val="24"/>
          <w:szCs w:val="24"/>
          <w:highlight w:val="none"/>
        </w:rPr>
      </w:pPr>
      <w:bookmarkStart w:id="113" w:name="_Toc441065672"/>
      <w:bookmarkStart w:id="114" w:name="_Toc27507"/>
      <w:bookmarkStart w:id="115" w:name="_Toc27077"/>
      <w:bookmarkStart w:id="116" w:name="_Toc22675"/>
      <w:bookmarkStart w:id="117" w:name="_Toc80620854"/>
      <w:bookmarkStart w:id="118" w:name="_Toc524444870"/>
      <w:bookmarkStart w:id="119" w:name="_Toc10205"/>
      <w:bookmarkStart w:id="120" w:name="_Toc79589968"/>
      <w:bookmarkStart w:id="121" w:name="_Toc523837618"/>
      <w:bookmarkStart w:id="122" w:name="_Toc31149"/>
      <w:bookmarkStart w:id="123" w:name="_Toc23829"/>
      <w:r>
        <w:rPr>
          <w:rFonts w:hint="eastAsia" w:ascii="宋体"/>
          <w:b/>
          <w:color w:val="auto"/>
          <w:sz w:val="21"/>
          <w:szCs w:val="21"/>
          <w:highlight w:val="none"/>
        </w:rPr>
        <w:t>※</w:t>
      </w:r>
      <w:r>
        <w:rPr>
          <w:rFonts w:hint="eastAsia" w:ascii="宋体" w:hAnsi="宋体"/>
          <w:color w:val="auto"/>
          <w:sz w:val="24"/>
          <w:szCs w:val="24"/>
          <w:highlight w:val="none"/>
        </w:rPr>
        <w:t>八、其他</w:t>
      </w:r>
      <w:bookmarkEnd w:id="113"/>
      <w:bookmarkEnd w:id="114"/>
      <w:bookmarkEnd w:id="115"/>
      <w:bookmarkEnd w:id="116"/>
      <w:bookmarkEnd w:id="117"/>
      <w:bookmarkEnd w:id="118"/>
      <w:bookmarkEnd w:id="119"/>
      <w:bookmarkEnd w:id="120"/>
      <w:bookmarkEnd w:id="121"/>
      <w:bookmarkEnd w:id="122"/>
      <w:bookmarkEnd w:id="123"/>
    </w:p>
    <w:p w14:paraId="4A5EA57A">
      <w:pPr>
        <w:snapToGrid w:val="0"/>
        <w:spacing w:line="540" w:lineRule="exact"/>
        <w:ind w:firstLine="480" w:firstLineChars="200"/>
        <w:outlineLvl w:val="0"/>
        <w:rPr>
          <w:color w:val="auto"/>
          <w:sz w:val="24"/>
          <w:szCs w:val="24"/>
          <w:highlight w:val="none"/>
        </w:rPr>
      </w:pPr>
      <w:bookmarkStart w:id="124" w:name="_Toc6382"/>
      <w:r>
        <w:rPr>
          <w:rFonts w:hint="eastAsia" w:ascii="宋体" w:hAnsi="宋体" w:cs="宋体"/>
          <w:color w:val="auto"/>
          <w:sz w:val="24"/>
          <w:szCs w:val="24"/>
          <w:highlight w:val="none"/>
        </w:rPr>
        <w:t>其他未尽事宜由供需双方在采购合同中详细约定。</w:t>
      </w:r>
      <w:bookmarkEnd w:id="124"/>
    </w:p>
    <w:p w14:paraId="5C7F28DB">
      <w:pPr>
        <w:pStyle w:val="5"/>
        <w:pageBreakBefore/>
        <w:spacing w:line="500" w:lineRule="exact"/>
        <w:jc w:val="center"/>
        <w:rPr>
          <w:rFonts w:ascii="宋体" w:eastAsia="宋体"/>
          <w:b/>
          <w:bCs w:val="0"/>
          <w:color w:val="auto"/>
          <w:sz w:val="32"/>
          <w:szCs w:val="28"/>
          <w:highlight w:val="none"/>
        </w:rPr>
      </w:pPr>
      <w:bookmarkStart w:id="125" w:name="_Toc28773"/>
      <w:bookmarkStart w:id="126" w:name="_Toc9497"/>
      <w:r>
        <w:rPr>
          <w:rFonts w:hint="eastAsia" w:ascii="宋体" w:eastAsia="宋体"/>
          <w:b/>
          <w:bCs w:val="0"/>
          <w:color w:val="auto"/>
          <w:sz w:val="32"/>
          <w:szCs w:val="28"/>
          <w:highlight w:val="none"/>
        </w:rPr>
        <w:t>第四篇  磋商程序及方法、评审标准、无效响应和采购终止</w:t>
      </w:r>
      <w:bookmarkEnd w:id="125"/>
      <w:bookmarkEnd w:id="126"/>
    </w:p>
    <w:p w14:paraId="73131CAC">
      <w:pPr>
        <w:pStyle w:val="6"/>
        <w:spacing w:before="0" w:after="0" w:line="540" w:lineRule="exact"/>
        <w:ind w:firstLine="482" w:firstLineChars="200"/>
        <w:rPr>
          <w:rFonts w:ascii="宋体" w:hAnsi="宋体" w:cs="宋体"/>
          <w:color w:val="auto"/>
          <w:sz w:val="24"/>
          <w:szCs w:val="24"/>
          <w:highlight w:val="none"/>
        </w:rPr>
      </w:pPr>
      <w:bookmarkStart w:id="127" w:name="_Toc12299"/>
      <w:bookmarkStart w:id="128" w:name="_Toc9361"/>
      <w:bookmarkStart w:id="129" w:name="_Toc65660350"/>
      <w:bookmarkStart w:id="130" w:name="_Toc64732012"/>
      <w:bookmarkStart w:id="131" w:name="_Toc160701958"/>
      <w:bookmarkStart w:id="132" w:name="_Toc5167"/>
      <w:bookmarkStart w:id="133" w:name="_Toc883"/>
      <w:bookmarkStart w:id="134" w:name="_Toc31190"/>
      <w:bookmarkStart w:id="135" w:name="_Toc11200"/>
      <w:r>
        <w:rPr>
          <w:rFonts w:hint="eastAsia" w:ascii="宋体"/>
          <w:color w:val="auto"/>
          <w:sz w:val="24"/>
          <w:szCs w:val="24"/>
          <w:highlight w:val="none"/>
        </w:rPr>
        <w:t>一、</w:t>
      </w:r>
      <w:bookmarkEnd w:id="127"/>
      <w:bookmarkEnd w:id="128"/>
      <w:bookmarkEnd w:id="129"/>
      <w:bookmarkEnd w:id="130"/>
      <w:bookmarkEnd w:id="131"/>
      <w:bookmarkEnd w:id="132"/>
      <w:r>
        <w:rPr>
          <w:rFonts w:hint="eastAsia" w:ascii="宋体" w:hAnsi="宋体" w:cs="宋体"/>
          <w:color w:val="auto"/>
          <w:sz w:val="24"/>
          <w:szCs w:val="24"/>
          <w:highlight w:val="none"/>
        </w:rPr>
        <w:t>磋商程序及方法</w:t>
      </w:r>
      <w:bookmarkEnd w:id="133"/>
      <w:bookmarkEnd w:id="134"/>
      <w:bookmarkEnd w:id="135"/>
    </w:p>
    <w:p w14:paraId="419ECE9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467BBD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344ADB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60"/>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02"/>
        <w:gridCol w:w="2933"/>
        <w:gridCol w:w="5235"/>
      </w:tblGrid>
      <w:tr w14:paraId="752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9" w:type="dxa"/>
            <w:tcBorders>
              <w:top w:val="single" w:color="auto" w:sz="4" w:space="0"/>
              <w:left w:val="single" w:color="auto" w:sz="4" w:space="0"/>
              <w:bottom w:val="single" w:color="auto" w:sz="4" w:space="0"/>
              <w:right w:val="single" w:color="auto" w:sz="4" w:space="0"/>
            </w:tcBorders>
            <w:vAlign w:val="center"/>
          </w:tcPr>
          <w:p w14:paraId="6B86CF5B">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35" w:type="dxa"/>
            <w:gridSpan w:val="2"/>
            <w:tcBorders>
              <w:top w:val="single" w:color="auto" w:sz="4" w:space="0"/>
              <w:left w:val="single" w:color="auto" w:sz="4" w:space="0"/>
              <w:bottom w:val="single" w:color="auto" w:sz="4" w:space="0"/>
              <w:right w:val="single" w:color="auto" w:sz="4" w:space="0"/>
            </w:tcBorders>
            <w:vAlign w:val="center"/>
          </w:tcPr>
          <w:p w14:paraId="50415530">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35" w:type="dxa"/>
            <w:tcBorders>
              <w:top w:val="single" w:color="auto" w:sz="4" w:space="0"/>
              <w:left w:val="single" w:color="auto" w:sz="4" w:space="0"/>
              <w:bottom w:val="single" w:color="auto" w:sz="4" w:space="0"/>
              <w:right w:val="single" w:color="auto" w:sz="4" w:space="0"/>
            </w:tcBorders>
            <w:vAlign w:val="center"/>
          </w:tcPr>
          <w:p w14:paraId="305912F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710D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09" w:type="dxa"/>
            <w:vMerge w:val="restart"/>
            <w:vAlign w:val="center"/>
          </w:tcPr>
          <w:p w14:paraId="0AD60879">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2" w:type="dxa"/>
            <w:vMerge w:val="restart"/>
            <w:vAlign w:val="center"/>
          </w:tcPr>
          <w:p w14:paraId="4B439635">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33" w:type="dxa"/>
            <w:vAlign w:val="center"/>
          </w:tcPr>
          <w:p w14:paraId="61D5075A">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35" w:type="dxa"/>
            <w:vAlign w:val="center"/>
          </w:tcPr>
          <w:p w14:paraId="1F6EEFE6">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DC79E64">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639D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7EA7CFB0">
            <w:pPr>
              <w:jc w:val="center"/>
              <w:rPr>
                <w:rFonts w:ascii="宋体" w:hAnsi="宋体" w:cs="宋体"/>
                <w:color w:val="auto"/>
                <w:sz w:val="21"/>
                <w:szCs w:val="21"/>
                <w:highlight w:val="none"/>
              </w:rPr>
            </w:pPr>
          </w:p>
        </w:tc>
        <w:tc>
          <w:tcPr>
            <w:tcW w:w="702" w:type="dxa"/>
            <w:vMerge w:val="continue"/>
            <w:vAlign w:val="center"/>
          </w:tcPr>
          <w:p w14:paraId="6242D859">
            <w:pPr>
              <w:rPr>
                <w:rFonts w:ascii="宋体" w:hAnsi="宋体" w:cs="宋体"/>
                <w:color w:val="auto"/>
                <w:sz w:val="21"/>
                <w:szCs w:val="21"/>
                <w:highlight w:val="none"/>
                <w:lang w:val="zh-CN"/>
              </w:rPr>
            </w:pPr>
          </w:p>
        </w:tc>
        <w:tc>
          <w:tcPr>
            <w:tcW w:w="2933" w:type="dxa"/>
            <w:vAlign w:val="center"/>
          </w:tcPr>
          <w:p w14:paraId="526B29C8">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35" w:type="dxa"/>
            <w:vMerge w:val="restart"/>
            <w:vAlign w:val="center"/>
          </w:tcPr>
          <w:p w14:paraId="1097CCB1">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5797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66BCD399">
            <w:pPr>
              <w:jc w:val="center"/>
              <w:rPr>
                <w:rFonts w:ascii="宋体" w:hAnsi="宋体" w:cs="宋体"/>
                <w:color w:val="auto"/>
                <w:sz w:val="21"/>
                <w:szCs w:val="21"/>
                <w:highlight w:val="none"/>
              </w:rPr>
            </w:pPr>
          </w:p>
        </w:tc>
        <w:tc>
          <w:tcPr>
            <w:tcW w:w="702" w:type="dxa"/>
            <w:vMerge w:val="continue"/>
            <w:vAlign w:val="center"/>
          </w:tcPr>
          <w:p w14:paraId="2AFDAD62">
            <w:pPr>
              <w:rPr>
                <w:rFonts w:ascii="宋体" w:hAnsi="宋体" w:cs="宋体"/>
                <w:color w:val="auto"/>
                <w:sz w:val="21"/>
                <w:szCs w:val="21"/>
                <w:highlight w:val="none"/>
                <w:lang w:val="zh-CN"/>
              </w:rPr>
            </w:pPr>
          </w:p>
        </w:tc>
        <w:tc>
          <w:tcPr>
            <w:tcW w:w="2933" w:type="dxa"/>
            <w:vAlign w:val="center"/>
          </w:tcPr>
          <w:p w14:paraId="331B8127">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35" w:type="dxa"/>
            <w:vMerge w:val="continue"/>
            <w:vAlign w:val="center"/>
          </w:tcPr>
          <w:p w14:paraId="62C0DE6A">
            <w:pPr>
              <w:rPr>
                <w:rFonts w:ascii="宋体" w:hAnsi="宋体" w:cs="宋体"/>
                <w:color w:val="auto"/>
                <w:sz w:val="21"/>
                <w:szCs w:val="21"/>
                <w:highlight w:val="none"/>
              </w:rPr>
            </w:pPr>
          </w:p>
        </w:tc>
      </w:tr>
      <w:tr w14:paraId="301C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063FBEDE">
            <w:pPr>
              <w:jc w:val="center"/>
              <w:rPr>
                <w:rFonts w:ascii="宋体" w:hAnsi="宋体" w:cs="宋体"/>
                <w:color w:val="auto"/>
                <w:sz w:val="21"/>
                <w:szCs w:val="21"/>
                <w:highlight w:val="none"/>
              </w:rPr>
            </w:pPr>
          </w:p>
        </w:tc>
        <w:tc>
          <w:tcPr>
            <w:tcW w:w="702" w:type="dxa"/>
            <w:vMerge w:val="continue"/>
            <w:vAlign w:val="center"/>
          </w:tcPr>
          <w:p w14:paraId="4C031F4A">
            <w:pPr>
              <w:rPr>
                <w:rFonts w:ascii="宋体" w:hAnsi="宋体" w:cs="宋体"/>
                <w:color w:val="auto"/>
                <w:sz w:val="21"/>
                <w:szCs w:val="21"/>
                <w:highlight w:val="none"/>
                <w:lang w:val="zh-CN"/>
              </w:rPr>
            </w:pPr>
          </w:p>
        </w:tc>
        <w:tc>
          <w:tcPr>
            <w:tcW w:w="2933" w:type="dxa"/>
            <w:vAlign w:val="center"/>
          </w:tcPr>
          <w:p w14:paraId="79A18D2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35" w:type="dxa"/>
            <w:vMerge w:val="continue"/>
            <w:vAlign w:val="center"/>
          </w:tcPr>
          <w:p w14:paraId="16EED331">
            <w:pPr>
              <w:rPr>
                <w:rFonts w:ascii="宋体" w:hAnsi="宋体" w:cs="宋体"/>
                <w:color w:val="auto"/>
                <w:sz w:val="21"/>
                <w:szCs w:val="21"/>
                <w:highlight w:val="none"/>
              </w:rPr>
            </w:pPr>
          </w:p>
        </w:tc>
      </w:tr>
      <w:tr w14:paraId="713D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9" w:type="dxa"/>
            <w:vMerge w:val="continue"/>
            <w:vAlign w:val="center"/>
          </w:tcPr>
          <w:p w14:paraId="3E00FFCE">
            <w:pPr>
              <w:jc w:val="center"/>
              <w:rPr>
                <w:rFonts w:ascii="宋体" w:hAnsi="宋体" w:cs="宋体"/>
                <w:color w:val="auto"/>
                <w:sz w:val="21"/>
                <w:szCs w:val="21"/>
                <w:highlight w:val="none"/>
              </w:rPr>
            </w:pPr>
          </w:p>
        </w:tc>
        <w:tc>
          <w:tcPr>
            <w:tcW w:w="702" w:type="dxa"/>
            <w:vMerge w:val="continue"/>
            <w:vAlign w:val="center"/>
          </w:tcPr>
          <w:p w14:paraId="1866D229">
            <w:pPr>
              <w:rPr>
                <w:rFonts w:ascii="宋体" w:hAnsi="宋体" w:cs="宋体"/>
                <w:color w:val="auto"/>
                <w:sz w:val="21"/>
                <w:szCs w:val="21"/>
                <w:highlight w:val="none"/>
                <w:lang w:val="zh-CN"/>
              </w:rPr>
            </w:pPr>
          </w:p>
        </w:tc>
        <w:tc>
          <w:tcPr>
            <w:tcW w:w="2933" w:type="dxa"/>
            <w:vAlign w:val="center"/>
          </w:tcPr>
          <w:p w14:paraId="007F99DE">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35" w:type="dxa"/>
            <w:vMerge w:val="continue"/>
            <w:vAlign w:val="center"/>
          </w:tcPr>
          <w:p w14:paraId="61FF3520">
            <w:pPr>
              <w:rPr>
                <w:rFonts w:ascii="宋体" w:hAnsi="宋体" w:cs="宋体"/>
                <w:b/>
                <w:color w:val="auto"/>
                <w:sz w:val="21"/>
                <w:szCs w:val="21"/>
                <w:highlight w:val="none"/>
              </w:rPr>
            </w:pPr>
          </w:p>
        </w:tc>
      </w:tr>
      <w:tr w14:paraId="0C35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280D3FC4">
            <w:pPr>
              <w:jc w:val="center"/>
              <w:rPr>
                <w:rFonts w:ascii="宋体" w:hAnsi="宋体" w:cs="宋体"/>
                <w:color w:val="auto"/>
                <w:sz w:val="21"/>
                <w:szCs w:val="21"/>
                <w:highlight w:val="none"/>
              </w:rPr>
            </w:pPr>
          </w:p>
        </w:tc>
        <w:tc>
          <w:tcPr>
            <w:tcW w:w="702" w:type="dxa"/>
            <w:vMerge w:val="continue"/>
            <w:vAlign w:val="center"/>
          </w:tcPr>
          <w:p w14:paraId="6C63079A">
            <w:pPr>
              <w:rPr>
                <w:rFonts w:ascii="宋体" w:hAnsi="宋体" w:cs="宋体"/>
                <w:color w:val="auto"/>
                <w:sz w:val="21"/>
                <w:szCs w:val="21"/>
                <w:highlight w:val="none"/>
              </w:rPr>
            </w:pPr>
          </w:p>
        </w:tc>
        <w:tc>
          <w:tcPr>
            <w:tcW w:w="2933" w:type="dxa"/>
            <w:vAlign w:val="center"/>
          </w:tcPr>
          <w:p w14:paraId="7E75867D">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35" w:type="dxa"/>
            <w:vAlign w:val="center"/>
          </w:tcPr>
          <w:p w14:paraId="0379E88D">
            <w:pPr>
              <w:rPr>
                <w:rFonts w:ascii="宋体" w:hAnsi="宋体" w:cs="宋体"/>
                <w:color w:val="auto"/>
                <w:sz w:val="21"/>
                <w:szCs w:val="21"/>
                <w:highlight w:val="none"/>
              </w:rPr>
            </w:pPr>
          </w:p>
        </w:tc>
      </w:tr>
      <w:tr w14:paraId="7AB8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9" w:type="dxa"/>
            <w:vAlign w:val="center"/>
          </w:tcPr>
          <w:p w14:paraId="5E1F604B">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35" w:type="dxa"/>
            <w:gridSpan w:val="2"/>
            <w:vAlign w:val="center"/>
          </w:tcPr>
          <w:p w14:paraId="0A1193DC">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35" w:type="dxa"/>
            <w:vAlign w:val="center"/>
          </w:tcPr>
          <w:p w14:paraId="476E5448">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153D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9" w:type="dxa"/>
            <w:vAlign w:val="center"/>
          </w:tcPr>
          <w:p w14:paraId="0BAF5399">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35" w:type="dxa"/>
            <w:gridSpan w:val="2"/>
            <w:vAlign w:val="center"/>
          </w:tcPr>
          <w:p w14:paraId="5C2A5912">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35" w:type="dxa"/>
            <w:vAlign w:val="center"/>
          </w:tcPr>
          <w:p w14:paraId="3ADA9FB3">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2F58C237">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2E13D2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BC04B88">
      <w:pPr>
        <w:snapToGrid w:val="0"/>
        <w:spacing w:line="540" w:lineRule="exact"/>
        <w:ind w:firstLine="480" w:firstLineChars="200"/>
        <w:rPr>
          <w:rFonts w:ascii="宋体" w:hAnsi="宋体" w:cs="宋体"/>
          <w:color w:val="auto"/>
          <w:kern w:val="0"/>
          <w:sz w:val="21"/>
          <w:szCs w:val="21"/>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72"/>
        <w:gridCol w:w="1995"/>
        <w:gridCol w:w="5217"/>
      </w:tblGrid>
      <w:tr w14:paraId="55C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4" w:type="dxa"/>
            <w:vAlign w:val="center"/>
          </w:tcPr>
          <w:p w14:paraId="2F407070">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67" w:type="dxa"/>
            <w:gridSpan w:val="2"/>
            <w:vAlign w:val="center"/>
          </w:tcPr>
          <w:p w14:paraId="5C0B5787">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17" w:type="dxa"/>
            <w:vAlign w:val="center"/>
          </w:tcPr>
          <w:p w14:paraId="2BE4227E">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31DC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4" w:type="dxa"/>
            <w:vMerge w:val="restart"/>
            <w:vAlign w:val="center"/>
          </w:tcPr>
          <w:p w14:paraId="2B9D8C62">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2" w:type="dxa"/>
            <w:vMerge w:val="restart"/>
            <w:vAlign w:val="center"/>
          </w:tcPr>
          <w:p w14:paraId="0EE29BC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5" w:type="dxa"/>
            <w:vAlign w:val="center"/>
          </w:tcPr>
          <w:p w14:paraId="006E68D8">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217" w:type="dxa"/>
            <w:vAlign w:val="center"/>
          </w:tcPr>
          <w:p w14:paraId="4C30E4BD">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1AA1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4" w:type="dxa"/>
            <w:vMerge w:val="continue"/>
            <w:vAlign w:val="center"/>
          </w:tcPr>
          <w:p w14:paraId="34719562">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0ABC59AF">
            <w:pPr>
              <w:spacing w:line="240" w:lineRule="exact"/>
              <w:rPr>
                <w:rFonts w:ascii="宋体" w:hAnsi="宋体" w:cs="宋体"/>
                <w:color w:val="auto"/>
                <w:kern w:val="0"/>
                <w:sz w:val="21"/>
                <w:szCs w:val="21"/>
                <w:highlight w:val="none"/>
              </w:rPr>
            </w:pPr>
          </w:p>
        </w:tc>
        <w:tc>
          <w:tcPr>
            <w:tcW w:w="1995" w:type="dxa"/>
            <w:vAlign w:val="center"/>
          </w:tcPr>
          <w:p w14:paraId="3CA22B50">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17" w:type="dxa"/>
            <w:vAlign w:val="center"/>
          </w:tcPr>
          <w:p w14:paraId="07BDD3E0">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6DF1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4" w:type="dxa"/>
            <w:vMerge w:val="continue"/>
            <w:vAlign w:val="center"/>
          </w:tcPr>
          <w:p w14:paraId="179A62A5">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6F7BE572">
            <w:pPr>
              <w:spacing w:line="240" w:lineRule="exact"/>
              <w:rPr>
                <w:rFonts w:ascii="宋体" w:hAnsi="宋体" w:cs="宋体"/>
                <w:color w:val="auto"/>
                <w:kern w:val="0"/>
                <w:sz w:val="21"/>
                <w:szCs w:val="21"/>
                <w:highlight w:val="none"/>
              </w:rPr>
            </w:pPr>
          </w:p>
        </w:tc>
        <w:tc>
          <w:tcPr>
            <w:tcW w:w="1995" w:type="dxa"/>
            <w:vAlign w:val="center"/>
          </w:tcPr>
          <w:p w14:paraId="4065CAB2">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217" w:type="dxa"/>
            <w:vAlign w:val="center"/>
          </w:tcPr>
          <w:p w14:paraId="2724DB77">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38B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4" w:type="dxa"/>
            <w:vMerge w:val="continue"/>
            <w:vAlign w:val="center"/>
          </w:tcPr>
          <w:p w14:paraId="7DE266CA">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6FE903C3">
            <w:pPr>
              <w:spacing w:line="240" w:lineRule="exact"/>
              <w:rPr>
                <w:rFonts w:ascii="宋体" w:hAnsi="宋体" w:cs="宋体"/>
                <w:color w:val="auto"/>
                <w:kern w:val="0"/>
                <w:sz w:val="21"/>
                <w:szCs w:val="21"/>
                <w:highlight w:val="none"/>
              </w:rPr>
            </w:pPr>
          </w:p>
        </w:tc>
        <w:tc>
          <w:tcPr>
            <w:tcW w:w="1995" w:type="dxa"/>
            <w:vAlign w:val="center"/>
          </w:tcPr>
          <w:p w14:paraId="41600E55">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17" w:type="dxa"/>
            <w:vAlign w:val="center"/>
          </w:tcPr>
          <w:p w14:paraId="49B7A5B9">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78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4" w:type="dxa"/>
            <w:vAlign w:val="center"/>
          </w:tcPr>
          <w:p w14:paraId="5285D8CE">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2" w:type="dxa"/>
            <w:vAlign w:val="center"/>
          </w:tcPr>
          <w:p w14:paraId="10E17E13">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5" w:type="dxa"/>
            <w:vAlign w:val="center"/>
          </w:tcPr>
          <w:p w14:paraId="51594DCA">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217" w:type="dxa"/>
            <w:vAlign w:val="center"/>
          </w:tcPr>
          <w:p w14:paraId="20E3A3C8">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7482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4" w:type="dxa"/>
            <w:vMerge w:val="restart"/>
            <w:vAlign w:val="center"/>
          </w:tcPr>
          <w:p w14:paraId="050E34F5">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2" w:type="dxa"/>
            <w:vMerge w:val="restart"/>
            <w:vAlign w:val="center"/>
          </w:tcPr>
          <w:p w14:paraId="4FC671F0">
            <w:pPr>
              <w:spacing w:line="24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95" w:type="dxa"/>
            <w:vAlign w:val="center"/>
          </w:tcPr>
          <w:p w14:paraId="0827663A">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17" w:type="dxa"/>
            <w:vAlign w:val="center"/>
          </w:tcPr>
          <w:p w14:paraId="44CEE81F">
            <w:pPr>
              <w:pStyle w:val="34"/>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14:paraId="3876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4" w:type="dxa"/>
            <w:vMerge w:val="continue"/>
            <w:vAlign w:val="center"/>
          </w:tcPr>
          <w:p w14:paraId="4EAD9BC5">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4CC4AF49">
            <w:pPr>
              <w:spacing w:line="240" w:lineRule="exact"/>
              <w:rPr>
                <w:rFonts w:ascii="宋体" w:hAnsi="宋体" w:cs="宋体"/>
                <w:color w:val="auto"/>
                <w:sz w:val="21"/>
                <w:szCs w:val="21"/>
                <w:highlight w:val="none"/>
                <w:lang w:val="zh-CN"/>
              </w:rPr>
            </w:pPr>
          </w:p>
        </w:tc>
        <w:tc>
          <w:tcPr>
            <w:tcW w:w="1995" w:type="dxa"/>
            <w:vAlign w:val="center"/>
          </w:tcPr>
          <w:p w14:paraId="39E3CB42">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17" w:type="dxa"/>
            <w:vAlign w:val="center"/>
          </w:tcPr>
          <w:p w14:paraId="550B749F">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0551CDEB">
      <w:pPr>
        <w:numPr>
          <w:ilvl w:val="0"/>
          <w:numId w:val="15"/>
        </w:num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2B4D8D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238FEE">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1F78E8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19DEB6C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EC7668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481784E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159206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32AB17A0">
      <w:pPr>
        <w:spacing w:line="540" w:lineRule="exact"/>
        <w:ind w:firstLine="480" w:firstLineChars="200"/>
        <w:rPr>
          <w:rFonts w:hAnsi="宋体" w:cs="宋体"/>
          <w:color w:val="auto"/>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w:t>
      </w:r>
      <w:r>
        <w:rPr>
          <w:rFonts w:hint="eastAsia" w:ascii="宋体" w:hAnsi="宋体" w:cs="宋体"/>
          <w:color w:val="auto"/>
          <w:sz w:val="24"/>
          <w:szCs w:val="24"/>
          <w:highlight w:val="none"/>
          <w:lang w:val="en-US" w:eastAsia="zh-CN"/>
        </w:rPr>
        <w:t>资格</w:t>
      </w:r>
      <w:r>
        <w:rPr>
          <w:rFonts w:hint="eastAsia" w:ascii="宋体" w:hAnsi="宋体" w:cs="宋体"/>
          <w:color w:val="auto"/>
          <w:sz w:val="24"/>
          <w:szCs w:val="24"/>
          <w:highlight w:val="none"/>
        </w:rPr>
        <w:t>。</w:t>
      </w:r>
    </w:p>
    <w:p w14:paraId="20529608">
      <w:pPr>
        <w:pStyle w:val="6"/>
        <w:spacing w:before="0" w:after="0" w:line="440" w:lineRule="exact"/>
        <w:ind w:firstLine="482" w:firstLineChars="200"/>
        <w:rPr>
          <w:rFonts w:ascii="宋体"/>
          <w:color w:val="auto"/>
          <w:sz w:val="24"/>
          <w:szCs w:val="24"/>
          <w:highlight w:val="none"/>
        </w:rPr>
      </w:pPr>
      <w:bookmarkStart w:id="136" w:name="_Toc32242"/>
      <w:bookmarkStart w:id="137" w:name="_Toc21803"/>
      <w:bookmarkStart w:id="138" w:name="_Toc25860"/>
      <w:bookmarkStart w:id="139" w:name="_Toc4547"/>
      <w:r>
        <w:rPr>
          <w:rFonts w:hint="eastAsia" w:ascii="宋体"/>
          <w:color w:val="auto"/>
          <w:sz w:val="24"/>
          <w:szCs w:val="24"/>
          <w:highlight w:val="none"/>
        </w:rPr>
        <w:t>二、</w:t>
      </w:r>
      <w:bookmarkStart w:id="140" w:name="_Toc102227320"/>
      <w:bookmarkStart w:id="141" w:name="_Toc342913394"/>
      <w:r>
        <w:rPr>
          <w:rFonts w:hint="eastAsia" w:ascii="宋体"/>
          <w:color w:val="auto"/>
          <w:sz w:val="24"/>
          <w:szCs w:val="24"/>
          <w:highlight w:val="none"/>
        </w:rPr>
        <w:t>评审标准</w:t>
      </w:r>
      <w:bookmarkEnd w:id="136"/>
      <w:bookmarkEnd w:id="137"/>
      <w:bookmarkEnd w:id="138"/>
      <w:bookmarkEnd w:id="139"/>
    </w:p>
    <w:bookmarkEnd w:id="140"/>
    <w:bookmarkEnd w:id="141"/>
    <w:tbl>
      <w:tblPr>
        <w:tblStyle w:val="60"/>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012"/>
        <w:gridCol w:w="1252"/>
        <w:gridCol w:w="759"/>
        <w:gridCol w:w="4257"/>
        <w:gridCol w:w="1641"/>
      </w:tblGrid>
      <w:tr w14:paraId="7139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73" w:type="pct"/>
            <w:vAlign w:val="center"/>
          </w:tcPr>
          <w:p w14:paraId="2EE80FE4">
            <w:pPr>
              <w:spacing w:line="360" w:lineRule="auto"/>
              <w:ind w:firstLine="28"/>
              <w:jc w:val="center"/>
              <w:rPr>
                <w:rFonts w:ascii="宋体" w:hAnsi="宋体"/>
                <w:b/>
                <w:color w:val="auto"/>
                <w:sz w:val="21"/>
                <w:szCs w:val="21"/>
                <w:highlight w:val="none"/>
              </w:rPr>
            </w:pPr>
            <w:bookmarkStart w:id="142" w:name="_Hlk97712090"/>
            <w:bookmarkStart w:id="143" w:name="_Toc29624"/>
            <w:bookmarkStart w:id="144" w:name="_Toc12293"/>
            <w:r>
              <w:rPr>
                <w:rFonts w:ascii="宋体" w:hAnsi="宋体"/>
                <w:b/>
                <w:color w:val="auto"/>
                <w:sz w:val="21"/>
                <w:szCs w:val="21"/>
                <w:highlight w:val="none"/>
              </w:rPr>
              <w:t>序号</w:t>
            </w:r>
          </w:p>
        </w:tc>
        <w:tc>
          <w:tcPr>
            <w:tcW w:w="1199" w:type="pct"/>
            <w:gridSpan w:val="2"/>
            <w:vAlign w:val="center"/>
          </w:tcPr>
          <w:p w14:paraId="42A96C5D">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评分因素</w:t>
            </w:r>
          </w:p>
          <w:p w14:paraId="396681AF">
            <w:pPr>
              <w:spacing w:line="360" w:lineRule="auto"/>
              <w:ind w:firstLine="28"/>
              <w:jc w:val="center"/>
              <w:rPr>
                <w:rFonts w:hint="eastAsia" w:ascii="宋体" w:hAnsi="宋体" w:eastAsia="宋体"/>
                <w:b/>
                <w:color w:val="auto"/>
                <w:sz w:val="21"/>
                <w:szCs w:val="21"/>
                <w:highlight w:val="none"/>
                <w:lang w:eastAsia="zh-CN"/>
              </w:rPr>
            </w:pPr>
            <w:r>
              <w:rPr>
                <w:rFonts w:ascii="宋体" w:hAnsi="宋体"/>
                <w:b/>
                <w:color w:val="auto"/>
                <w:sz w:val="21"/>
                <w:szCs w:val="21"/>
                <w:highlight w:val="none"/>
              </w:rPr>
              <w:t>及权</w:t>
            </w:r>
            <w:r>
              <w:rPr>
                <w:rFonts w:hint="eastAsia" w:ascii="宋体" w:hAnsi="宋体"/>
                <w:b/>
                <w:color w:val="auto"/>
                <w:sz w:val="21"/>
                <w:szCs w:val="21"/>
                <w:highlight w:val="none"/>
                <w:lang w:val="en-US" w:eastAsia="zh-CN"/>
              </w:rPr>
              <w:t>重</w:t>
            </w:r>
          </w:p>
        </w:tc>
        <w:tc>
          <w:tcPr>
            <w:tcW w:w="402" w:type="pct"/>
            <w:vAlign w:val="center"/>
          </w:tcPr>
          <w:p w14:paraId="7285BE4A">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分值</w:t>
            </w:r>
          </w:p>
        </w:tc>
        <w:tc>
          <w:tcPr>
            <w:tcW w:w="2255" w:type="pct"/>
            <w:vAlign w:val="center"/>
          </w:tcPr>
          <w:p w14:paraId="2B975EBF">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评分标准</w:t>
            </w:r>
          </w:p>
        </w:tc>
        <w:tc>
          <w:tcPr>
            <w:tcW w:w="869" w:type="pct"/>
            <w:vAlign w:val="center"/>
          </w:tcPr>
          <w:p w14:paraId="7AA1843E">
            <w:pPr>
              <w:pStyle w:val="234"/>
              <w:spacing w:before="0" w:after="0" w:line="360" w:lineRule="auto"/>
              <w:rPr>
                <w:rFonts w:ascii="宋体" w:hAnsi="宋体" w:eastAsia="宋体"/>
                <w:color w:val="auto"/>
                <w:sz w:val="21"/>
                <w:szCs w:val="21"/>
                <w:highlight w:val="none"/>
              </w:rPr>
            </w:pPr>
            <w:r>
              <w:rPr>
                <w:rFonts w:ascii="宋体" w:hAnsi="宋体" w:eastAsia="宋体"/>
                <w:color w:val="auto"/>
                <w:sz w:val="21"/>
                <w:szCs w:val="21"/>
                <w:highlight w:val="none"/>
              </w:rPr>
              <w:t>说明</w:t>
            </w:r>
          </w:p>
        </w:tc>
      </w:tr>
      <w:tr w14:paraId="39E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73" w:type="pct"/>
            <w:vAlign w:val="center"/>
          </w:tcPr>
          <w:p w14:paraId="792DE9A4">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1</w:t>
            </w:r>
          </w:p>
        </w:tc>
        <w:tc>
          <w:tcPr>
            <w:tcW w:w="1199" w:type="pct"/>
            <w:gridSpan w:val="2"/>
            <w:vAlign w:val="center"/>
          </w:tcPr>
          <w:p w14:paraId="3960EA6F">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磋商报价</w:t>
            </w:r>
          </w:p>
          <w:p w14:paraId="6D4779CF">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rPr>
              <w:t>%）</w:t>
            </w:r>
          </w:p>
        </w:tc>
        <w:tc>
          <w:tcPr>
            <w:tcW w:w="402" w:type="pct"/>
            <w:vAlign w:val="center"/>
          </w:tcPr>
          <w:p w14:paraId="6E5CC408">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lang w:val="en-US" w:eastAsia="zh-CN"/>
              </w:rPr>
              <w:t>分</w:t>
            </w:r>
          </w:p>
        </w:tc>
        <w:tc>
          <w:tcPr>
            <w:tcW w:w="2255" w:type="pct"/>
            <w:vAlign w:val="center"/>
          </w:tcPr>
          <w:p w14:paraId="53B0F140">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满足磋商文件资格要求且最后报价最低的供应商的价格为磋商基准价，按照下列公式计算每个供应商的磋商报价得分。</w:t>
            </w:r>
          </w:p>
          <w:p w14:paraId="33E86403">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磋商报价得分=（磋商基准价/最后磋商报价）×价格分值×100</w:t>
            </w:r>
          </w:p>
        </w:tc>
        <w:tc>
          <w:tcPr>
            <w:tcW w:w="869" w:type="pct"/>
            <w:vAlign w:val="center"/>
          </w:tcPr>
          <w:p w14:paraId="081788C8">
            <w:pPr>
              <w:spacing w:line="360" w:lineRule="auto"/>
              <w:ind w:left="-38"/>
              <w:rPr>
                <w:rFonts w:ascii="宋体" w:hAnsi="宋体"/>
                <w:color w:val="auto"/>
                <w:sz w:val="21"/>
                <w:szCs w:val="21"/>
                <w:highlight w:val="none"/>
              </w:rPr>
            </w:pPr>
            <w:r>
              <w:rPr>
                <w:rFonts w:hint="eastAsia" w:ascii="宋体" w:hAnsi="宋体"/>
                <w:color w:val="auto"/>
                <w:sz w:val="21"/>
                <w:szCs w:val="21"/>
                <w:highlight w:val="none"/>
              </w:rPr>
              <w:t>对小微企业的价格用扣除后的价格参与评审，详见“关于小微企业报价扣除比例说明”。</w:t>
            </w:r>
          </w:p>
        </w:tc>
      </w:tr>
      <w:tr w14:paraId="2C34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273" w:type="pct"/>
            <w:vMerge w:val="restart"/>
            <w:vAlign w:val="center"/>
          </w:tcPr>
          <w:p w14:paraId="29711665">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2</w:t>
            </w:r>
          </w:p>
        </w:tc>
        <w:tc>
          <w:tcPr>
            <w:tcW w:w="536" w:type="pct"/>
            <w:vMerge w:val="restart"/>
            <w:vAlign w:val="center"/>
          </w:tcPr>
          <w:p w14:paraId="62D2C8BB">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技术部分（</w:t>
            </w:r>
            <w:r>
              <w:rPr>
                <w:rFonts w:ascii="宋体" w:hAnsi="宋体"/>
                <w:color w:val="auto"/>
                <w:sz w:val="21"/>
                <w:szCs w:val="21"/>
                <w:highlight w:val="none"/>
              </w:rPr>
              <w:t>65</w:t>
            </w:r>
            <w:r>
              <w:rPr>
                <w:rFonts w:hint="eastAsia" w:ascii="宋体" w:hAnsi="宋体"/>
                <w:color w:val="auto"/>
                <w:sz w:val="21"/>
                <w:szCs w:val="21"/>
                <w:highlight w:val="none"/>
              </w:rPr>
              <w:t>%）</w:t>
            </w:r>
          </w:p>
        </w:tc>
        <w:tc>
          <w:tcPr>
            <w:tcW w:w="663" w:type="pct"/>
            <w:vAlign w:val="center"/>
          </w:tcPr>
          <w:p w14:paraId="08FA44D2">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技术响应部分</w:t>
            </w:r>
          </w:p>
          <w:p w14:paraId="10CB87F6">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5分）</w:t>
            </w:r>
          </w:p>
        </w:tc>
        <w:tc>
          <w:tcPr>
            <w:tcW w:w="402" w:type="pct"/>
            <w:vAlign w:val="center"/>
          </w:tcPr>
          <w:p w14:paraId="4086F72C">
            <w:pPr>
              <w:spacing w:line="360" w:lineRule="auto"/>
              <w:ind w:firstLine="28"/>
              <w:jc w:val="center"/>
              <w:rPr>
                <w:rFonts w:hint="eastAsia" w:ascii="宋体" w:hAnsi="宋体" w:eastAsia="宋体"/>
                <w:color w:val="auto"/>
                <w:sz w:val="21"/>
                <w:szCs w:val="21"/>
                <w:highlight w:val="none"/>
                <w:lang w:val="en-US" w:eastAsia="zh-CN"/>
              </w:rPr>
            </w:pPr>
            <w:r>
              <w:rPr>
                <w:rFonts w:ascii="宋体" w:hAnsi="宋体"/>
                <w:color w:val="auto"/>
                <w:sz w:val="21"/>
                <w:szCs w:val="21"/>
                <w:highlight w:val="none"/>
              </w:rPr>
              <w:t>3</w:t>
            </w: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分</w:t>
            </w:r>
          </w:p>
        </w:tc>
        <w:tc>
          <w:tcPr>
            <w:tcW w:w="2255" w:type="pct"/>
            <w:vAlign w:val="center"/>
          </w:tcPr>
          <w:p w14:paraId="0179FB7B">
            <w:pPr>
              <w:pStyle w:val="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、起评分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p w14:paraId="728096C5">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有效供应商的起评分为35分。</w:t>
            </w:r>
          </w:p>
          <w:p w14:paraId="18253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、扣分条款：</w:t>
            </w:r>
          </w:p>
          <w:p w14:paraId="0F4197DF">
            <w:pPr>
              <w:pStyle w:val="2"/>
              <w:spacing w:line="360" w:lineRule="auto"/>
              <w:ind w:firstLine="420" w:firstLineChars="200"/>
              <w:rPr>
                <w:color w:val="auto"/>
                <w:highlight w:val="none"/>
              </w:rPr>
            </w:pPr>
            <w:r>
              <w:rPr>
                <w:rFonts w:hint="eastAsia" w:ascii="宋体" w:hAnsi="宋体" w:eastAsia="宋体" w:cs="宋体"/>
                <w:color w:val="auto"/>
                <w:sz w:val="21"/>
                <w:szCs w:val="21"/>
                <w:highlight w:val="none"/>
              </w:rPr>
              <w:t>技术参数达不到竞争性磋商文件要求的，每负偏离1条从起评分中扣除5分，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条及以上不满足技术响应部分得0分。</w:t>
            </w:r>
          </w:p>
        </w:tc>
        <w:tc>
          <w:tcPr>
            <w:tcW w:w="869" w:type="pct"/>
            <w:vAlign w:val="center"/>
          </w:tcPr>
          <w:p w14:paraId="72DFA27C">
            <w:pPr>
              <w:spacing w:line="360" w:lineRule="auto"/>
              <w:ind w:left="-38"/>
              <w:rPr>
                <w:rFonts w:ascii="宋体" w:hAnsi="宋体"/>
                <w:color w:val="auto"/>
                <w:sz w:val="21"/>
                <w:szCs w:val="21"/>
                <w:highlight w:val="none"/>
              </w:rPr>
            </w:pPr>
          </w:p>
        </w:tc>
      </w:tr>
      <w:tr w14:paraId="3A2F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8" w:hRule="atLeast"/>
          <w:jc w:val="center"/>
        </w:trPr>
        <w:tc>
          <w:tcPr>
            <w:tcW w:w="273" w:type="pct"/>
            <w:vMerge w:val="continue"/>
            <w:vAlign w:val="center"/>
          </w:tcPr>
          <w:p w14:paraId="449FC75B">
            <w:pPr>
              <w:spacing w:line="360" w:lineRule="auto"/>
              <w:ind w:firstLine="28"/>
              <w:jc w:val="center"/>
              <w:rPr>
                <w:rFonts w:ascii="宋体" w:hAnsi="宋体"/>
                <w:color w:val="auto"/>
                <w:sz w:val="21"/>
                <w:szCs w:val="21"/>
                <w:highlight w:val="none"/>
              </w:rPr>
            </w:pPr>
          </w:p>
        </w:tc>
        <w:tc>
          <w:tcPr>
            <w:tcW w:w="536" w:type="pct"/>
            <w:vMerge w:val="continue"/>
            <w:vAlign w:val="center"/>
          </w:tcPr>
          <w:p w14:paraId="2801D5AD">
            <w:pPr>
              <w:spacing w:line="360" w:lineRule="auto"/>
              <w:ind w:firstLine="28"/>
              <w:jc w:val="center"/>
              <w:rPr>
                <w:rFonts w:ascii="宋体" w:hAnsi="宋体"/>
                <w:color w:val="auto"/>
                <w:sz w:val="21"/>
                <w:szCs w:val="21"/>
                <w:highlight w:val="none"/>
              </w:rPr>
            </w:pPr>
          </w:p>
        </w:tc>
        <w:tc>
          <w:tcPr>
            <w:tcW w:w="663" w:type="pct"/>
            <w:vMerge w:val="restart"/>
            <w:vAlign w:val="center"/>
          </w:tcPr>
          <w:p w14:paraId="48BD2F00">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技术方案</w:t>
            </w:r>
          </w:p>
          <w:p w14:paraId="37A44635">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30</w:t>
            </w:r>
            <w:r>
              <w:rPr>
                <w:rFonts w:hint="eastAsia" w:ascii="宋体" w:hAnsi="宋体"/>
                <w:color w:val="auto"/>
                <w:sz w:val="21"/>
                <w:szCs w:val="21"/>
                <w:highlight w:val="none"/>
              </w:rPr>
              <w:t>分）</w:t>
            </w:r>
          </w:p>
        </w:tc>
        <w:tc>
          <w:tcPr>
            <w:tcW w:w="402" w:type="pct"/>
            <w:vAlign w:val="center"/>
          </w:tcPr>
          <w:p w14:paraId="74162DBA">
            <w:pPr>
              <w:spacing w:line="360" w:lineRule="auto"/>
              <w:ind w:firstLine="2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5分</w:t>
            </w:r>
          </w:p>
        </w:tc>
        <w:tc>
          <w:tcPr>
            <w:tcW w:w="2255" w:type="pct"/>
            <w:vAlign w:val="center"/>
          </w:tcPr>
          <w:p w14:paraId="7914637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培训服务方案（1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p w14:paraId="55ABAF5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根据供应商提供的师资配备、课程安排等培训事项的保障措施、保障方法等。</w:t>
            </w:r>
          </w:p>
          <w:p w14:paraId="6DFBE3E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师资配备齐全、课程安排科学合理、完全满足培训要求得15分；</w:t>
            </w:r>
          </w:p>
          <w:p w14:paraId="27C81885">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师资配备基本齐全、课程安排较为科学合理、较为满足项目培训要求得10分；</w:t>
            </w:r>
          </w:p>
          <w:p w14:paraId="17AFC2B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师资配备勉强够用、课程安排科学合理性一般勉强满足培训要求得5分；</w:t>
            </w:r>
          </w:p>
          <w:p w14:paraId="6CB8CDF0">
            <w:pPr>
              <w:spacing w:line="360" w:lineRule="auto"/>
              <w:ind w:firstLine="420" w:firstLineChars="200"/>
              <w:rPr>
                <w:color w:val="auto"/>
                <w:highlight w:val="none"/>
              </w:rPr>
            </w:pPr>
            <w:r>
              <w:rPr>
                <w:rFonts w:hint="eastAsia" w:ascii="宋体" w:hAnsi="宋体"/>
                <w:color w:val="auto"/>
                <w:sz w:val="21"/>
                <w:szCs w:val="21"/>
                <w:highlight w:val="none"/>
              </w:rPr>
              <w:t>师资配备不足、课程安排科学合理性差、不能满足培训要求或未提供的得0分。</w:t>
            </w:r>
          </w:p>
        </w:tc>
        <w:tc>
          <w:tcPr>
            <w:tcW w:w="869" w:type="pct"/>
            <w:vMerge w:val="restart"/>
            <w:vAlign w:val="center"/>
          </w:tcPr>
          <w:p w14:paraId="153A91E2">
            <w:pPr>
              <w:spacing w:line="360" w:lineRule="auto"/>
              <w:ind w:left="-38"/>
              <w:rPr>
                <w:rFonts w:ascii="宋体" w:hAnsi="宋体"/>
                <w:color w:val="auto"/>
                <w:sz w:val="21"/>
                <w:szCs w:val="21"/>
                <w:highlight w:val="none"/>
              </w:rPr>
            </w:pPr>
          </w:p>
          <w:p w14:paraId="5963A858">
            <w:pPr>
              <w:spacing w:line="360" w:lineRule="auto"/>
              <w:ind w:left="-38"/>
              <w:rPr>
                <w:rFonts w:ascii="宋体" w:hAnsi="宋体"/>
                <w:color w:val="auto"/>
                <w:sz w:val="21"/>
                <w:szCs w:val="21"/>
                <w:highlight w:val="none"/>
              </w:rPr>
            </w:pPr>
          </w:p>
          <w:p w14:paraId="2F35C7D8">
            <w:pPr>
              <w:spacing w:line="360" w:lineRule="auto"/>
              <w:ind w:left="-38"/>
              <w:rPr>
                <w:rFonts w:ascii="宋体" w:hAnsi="宋体"/>
                <w:color w:val="auto"/>
                <w:sz w:val="21"/>
                <w:szCs w:val="21"/>
                <w:highlight w:val="none"/>
              </w:rPr>
            </w:pPr>
          </w:p>
        </w:tc>
      </w:tr>
      <w:tr w14:paraId="0B1E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273" w:type="pct"/>
            <w:vMerge w:val="continue"/>
            <w:vAlign w:val="center"/>
          </w:tcPr>
          <w:p w14:paraId="6FAC2E98">
            <w:pPr>
              <w:spacing w:line="360" w:lineRule="auto"/>
              <w:ind w:firstLine="28"/>
              <w:jc w:val="center"/>
              <w:rPr>
                <w:rFonts w:ascii="宋体" w:hAnsi="宋体"/>
                <w:color w:val="auto"/>
                <w:sz w:val="21"/>
                <w:szCs w:val="21"/>
                <w:highlight w:val="none"/>
              </w:rPr>
            </w:pPr>
          </w:p>
        </w:tc>
        <w:tc>
          <w:tcPr>
            <w:tcW w:w="536" w:type="pct"/>
            <w:vMerge w:val="continue"/>
            <w:vAlign w:val="center"/>
          </w:tcPr>
          <w:p w14:paraId="56723FB0">
            <w:pPr>
              <w:spacing w:line="360" w:lineRule="auto"/>
              <w:ind w:firstLine="28"/>
              <w:jc w:val="center"/>
              <w:rPr>
                <w:rFonts w:ascii="宋体" w:hAnsi="宋体"/>
                <w:color w:val="auto"/>
                <w:sz w:val="21"/>
                <w:szCs w:val="21"/>
                <w:highlight w:val="none"/>
              </w:rPr>
            </w:pPr>
          </w:p>
        </w:tc>
        <w:tc>
          <w:tcPr>
            <w:tcW w:w="663" w:type="pct"/>
            <w:vMerge w:val="continue"/>
            <w:vAlign w:val="center"/>
          </w:tcPr>
          <w:p w14:paraId="031DD3B4">
            <w:pPr>
              <w:spacing w:line="360" w:lineRule="auto"/>
              <w:ind w:firstLine="28"/>
              <w:jc w:val="center"/>
              <w:rPr>
                <w:rFonts w:ascii="宋体" w:hAnsi="宋体"/>
                <w:color w:val="auto"/>
                <w:sz w:val="21"/>
                <w:szCs w:val="21"/>
                <w:highlight w:val="none"/>
              </w:rPr>
            </w:pPr>
          </w:p>
        </w:tc>
        <w:tc>
          <w:tcPr>
            <w:tcW w:w="402" w:type="pct"/>
            <w:vAlign w:val="center"/>
          </w:tcPr>
          <w:p w14:paraId="0131FC8E">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10</w:t>
            </w:r>
            <w:r>
              <w:rPr>
                <w:rFonts w:hint="eastAsia" w:ascii="宋体" w:hAnsi="宋体"/>
                <w:color w:val="auto"/>
                <w:sz w:val="21"/>
                <w:szCs w:val="21"/>
                <w:highlight w:val="none"/>
                <w:lang w:val="en-US" w:eastAsia="zh-CN"/>
              </w:rPr>
              <w:t>分</w:t>
            </w:r>
          </w:p>
        </w:tc>
        <w:tc>
          <w:tcPr>
            <w:tcW w:w="2255" w:type="pct"/>
            <w:vAlign w:val="center"/>
          </w:tcPr>
          <w:p w14:paraId="125BC60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会务服务方案（</w:t>
            </w:r>
            <w:r>
              <w:rPr>
                <w:rFonts w:ascii="宋体" w:hAnsi="宋体"/>
                <w:color w:val="auto"/>
                <w:sz w:val="21"/>
                <w:szCs w:val="21"/>
                <w:highlight w:val="none"/>
              </w:rPr>
              <w:t>10</w:t>
            </w:r>
            <w:r>
              <w:rPr>
                <w:rFonts w:hint="eastAsia" w:ascii="宋体" w:hAnsi="宋体"/>
                <w:color w:val="auto"/>
                <w:sz w:val="21"/>
                <w:szCs w:val="21"/>
                <w:highlight w:val="none"/>
              </w:rPr>
              <w:t>分）</w:t>
            </w:r>
          </w:p>
          <w:p w14:paraId="7F2A59B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根据供应商提供的住宿、餐饮、会议室租赁、会场布置、医疗及其他后勤保障方案进行打分。</w:t>
            </w:r>
          </w:p>
          <w:p w14:paraId="1C4D6A2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保障方案完整、保障内容可操作性强，得10分；</w:t>
            </w:r>
          </w:p>
          <w:p w14:paraId="2D02AE55">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方案较完整、保障内容可操作性较强得7分；</w:t>
            </w:r>
          </w:p>
          <w:p w14:paraId="61544C41">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方案一般完整、保障内容可操作性一般得4分，</w:t>
            </w:r>
          </w:p>
          <w:p w14:paraId="50A747E9">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方案不完整、保障内容可操作性不强或未提供的得0分。</w:t>
            </w:r>
          </w:p>
        </w:tc>
        <w:tc>
          <w:tcPr>
            <w:tcW w:w="869" w:type="pct"/>
            <w:vMerge w:val="continue"/>
            <w:vAlign w:val="center"/>
          </w:tcPr>
          <w:p w14:paraId="30DD3141">
            <w:pPr>
              <w:spacing w:line="360" w:lineRule="auto"/>
              <w:ind w:left="-38"/>
              <w:rPr>
                <w:rFonts w:ascii="宋体" w:hAnsi="宋体"/>
                <w:color w:val="auto"/>
                <w:sz w:val="21"/>
                <w:szCs w:val="21"/>
                <w:highlight w:val="none"/>
              </w:rPr>
            </w:pPr>
          </w:p>
        </w:tc>
      </w:tr>
      <w:tr w14:paraId="6CD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273" w:type="pct"/>
            <w:vMerge w:val="continue"/>
            <w:vAlign w:val="center"/>
          </w:tcPr>
          <w:p w14:paraId="32D096D2">
            <w:pPr>
              <w:spacing w:line="360" w:lineRule="auto"/>
              <w:ind w:firstLine="28"/>
              <w:jc w:val="center"/>
              <w:rPr>
                <w:rFonts w:ascii="宋体" w:hAnsi="宋体"/>
                <w:color w:val="auto"/>
                <w:sz w:val="21"/>
                <w:szCs w:val="21"/>
                <w:highlight w:val="none"/>
              </w:rPr>
            </w:pPr>
          </w:p>
        </w:tc>
        <w:tc>
          <w:tcPr>
            <w:tcW w:w="536" w:type="pct"/>
            <w:vMerge w:val="continue"/>
            <w:vAlign w:val="center"/>
          </w:tcPr>
          <w:p w14:paraId="69D2C83A">
            <w:pPr>
              <w:spacing w:line="360" w:lineRule="auto"/>
              <w:jc w:val="center"/>
              <w:rPr>
                <w:rFonts w:ascii="宋体" w:hAnsi="宋体"/>
                <w:color w:val="auto"/>
                <w:sz w:val="21"/>
                <w:szCs w:val="21"/>
                <w:highlight w:val="none"/>
              </w:rPr>
            </w:pPr>
          </w:p>
        </w:tc>
        <w:tc>
          <w:tcPr>
            <w:tcW w:w="663" w:type="pct"/>
            <w:vMerge w:val="continue"/>
            <w:vAlign w:val="center"/>
          </w:tcPr>
          <w:p w14:paraId="5DD067F9">
            <w:pPr>
              <w:spacing w:line="360" w:lineRule="auto"/>
              <w:jc w:val="center"/>
              <w:rPr>
                <w:rFonts w:ascii="宋体" w:hAnsi="宋体"/>
                <w:color w:val="auto"/>
                <w:sz w:val="21"/>
                <w:szCs w:val="21"/>
                <w:highlight w:val="none"/>
              </w:rPr>
            </w:pPr>
          </w:p>
        </w:tc>
        <w:tc>
          <w:tcPr>
            <w:tcW w:w="402" w:type="pct"/>
            <w:vAlign w:val="center"/>
          </w:tcPr>
          <w:p w14:paraId="493D5FC6">
            <w:pPr>
              <w:spacing w:line="360" w:lineRule="auto"/>
              <w:ind w:firstLine="28" w:firstLineChars="0"/>
              <w:jc w:val="center"/>
              <w:rPr>
                <w:rFonts w:hint="eastAsia" w:ascii="宋体" w:hAnsi="宋体" w:eastAsia="宋体"/>
                <w:color w:val="auto"/>
                <w:sz w:val="21"/>
                <w:szCs w:val="21"/>
                <w:highlight w:val="none"/>
                <w:lang w:val="en-US" w:eastAsia="zh-CN"/>
              </w:rPr>
            </w:pPr>
            <w:r>
              <w:rPr>
                <w:rFonts w:ascii="宋体" w:hAnsi="宋体"/>
                <w:color w:val="auto"/>
                <w:sz w:val="21"/>
                <w:szCs w:val="21"/>
                <w:highlight w:val="none"/>
              </w:rPr>
              <w:t>5</w:t>
            </w:r>
            <w:r>
              <w:rPr>
                <w:rFonts w:hint="eastAsia" w:ascii="宋体" w:hAnsi="宋体"/>
                <w:color w:val="auto"/>
                <w:sz w:val="21"/>
                <w:szCs w:val="21"/>
                <w:highlight w:val="none"/>
                <w:lang w:val="en-US" w:eastAsia="zh-CN"/>
              </w:rPr>
              <w:t>分</w:t>
            </w:r>
          </w:p>
        </w:tc>
        <w:tc>
          <w:tcPr>
            <w:tcW w:w="2255" w:type="pct"/>
            <w:vAlign w:val="center"/>
          </w:tcPr>
          <w:p w14:paraId="19335C28">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3.应急保障方案（5分）</w:t>
            </w:r>
          </w:p>
          <w:p w14:paraId="4C8CA3E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对供应商提出的应急保障方案的针对性、完善程度等进行打分。</w:t>
            </w:r>
          </w:p>
          <w:p w14:paraId="3A10CD0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方案内容完整、针对性强得5分；</w:t>
            </w:r>
          </w:p>
          <w:p w14:paraId="48C8B02E">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方案内容较完整、针对性较强得3分；</w:t>
            </w:r>
          </w:p>
          <w:p w14:paraId="1D042BF1">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方案内容一般、针对性一般得1分；</w:t>
            </w:r>
          </w:p>
          <w:p w14:paraId="3308093E">
            <w:pPr>
              <w:spacing w:line="360" w:lineRule="auto"/>
              <w:ind w:firstLine="420" w:firstLineChars="200"/>
              <w:rPr>
                <w:rFonts w:hint="eastAsia" w:ascii="宋体" w:hAnsi="宋体"/>
                <w:color w:val="auto"/>
                <w:sz w:val="21"/>
                <w:highlight w:val="none"/>
              </w:rPr>
            </w:pPr>
            <w:r>
              <w:rPr>
                <w:rFonts w:hint="eastAsia" w:ascii="宋体" w:hAnsi="宋体"/>
                <w:color w:val="auto"/>
                <w:sz w:val="21"/>
                <w:szCs w:val="21"/>
                <w:highlight w:val="none"/>
              </w:rPr>
              <w:t>方案不完整、配备不齐全得或未未提供的得0分</w:t>
            </w:r>
            <w:r>
              <w:rPr>
                <w:rFonts w:hint="eastAsia" w:ascii="宋体" w:hAnsi="宋体"/>
                <w:color w:val="auto"/>
                <w:sz w:val="21"/>
                <w:highlight w:val="none"/>
              </w:rPr>
              <w:t>。</w:t>
            </w:r>
          </w:p>
        </w:tc>
        <w:tc>
          <w:tcPr>
            <w:tcW w:w="869" w:type="pct"/>
            <w:vMerge w:val="continue"/>
            <w:vAlign w:val="center"/>
          </w:tcPr>
          <w:p w14:paraId="0F76EF12">
            <w:pPr>
              <w:spacing w:line="360" w:lineRule="auto"/>
              <w:ind w:left="-38"/>
              <w:rPr>
                <w:rFonts w:ascii="宋体" w:hAnsi="宋体"/>
                <w:color w:val="auto"/>
                <w:sz w:val="21"/>
                <w:szCs w:val="21"/>
                <w:highlight w:val="none"/>
              </w:rPr>
            </w:pPr>
          </w:p>
        </w:tc>
      </w:tr>
      <w:tr w14:paraId="56B8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273" w:type="pct"/>
            <w:vMerge w:val="restart"/>
            <w:vAlign w:val="center"/>
          </w:tcPr>
          <w:p w14:paraId="6BDBA9DC">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3</w:t>
            </w:r>
          </w:p>
        </w:tc>
        <w:tc>
          <w:tcPr>
            <w:tcW w:w="536" w:type="pct"/>
            <w:vMerge w:val="restart"/>
            <w:vAlign w:val="center"/>
          </w:tcPr>
          <w:p w14:paraId="46719500">
            <w:pPr>
              <w:spacing w:line="360" w:lineRule="auto"/>
              <w:jc w:val="both"/>
              <w:rPr>
                <w:rFonts w:ascii="宋体" w:hAnsi="宋体"/>
                <w:color w:val="auto"/>
                <w:sz w:val="21"/>
                <w:szCs w:val="21"/>
                <w:highlight w:val="none"/>
              </w:rPr>
            </w:pPr>
            <w:r>
              <w:rPr>
                <w:rFonts w:hint="eastAsia" w:ascii="宋体" w:hAnsi="宋体"/>
                <w:color w:val="auto"/>
                <w:sz w:val="21"/>
                <w:szCs w:val="21"/>
                <w:highlight w:val="none"/>
              </w:rPr>
              <w:t>商务部分（</w:t>
            </w:r>
            <w:r>
              <w:rPr>
                <w:rFonts w:ascii="宋体" w:hAnsi="宋体"/>
                <w:color w:val="auto"/>
                <w:sz w:val="21"/>
                <w:szCs w:val="21"/>
                <w:highlight w:val="none"/>
              </w:rPr>
              <w:t>15</w:t>
            </w:r>
            <w:r>
              <w:rPr>
                <w:rFonts w:hint="eastAsia" w:ascii="宋体" w:hAnsi="宋体"/>
                <w:color w:val="auto"/>
                <w:sz w:val="21"/>
                <w:szCs w:val="21"/>
                <w:highlight w:val="none"/>
              </w:rPr>
              <w:t>%）</w:t>
            </w:r>
          </w:p>
        </w:tc>
        <w:tc>
          <w:tcPr>
            <w:tcW w:w="663" w:type="pct"/>
            <w:vAlign w:val="center"/>
          </w:tcPr>
          <w:p w14:paraId="79EC1666">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业绩</w:t>
            </w:r>
          </w:p>
          <w:p w14:paraId="2128F15C">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8</w:t>
            </w:r>
            <w:r>
              <w:rPr>
                <w:rFonts w:hint="eastAsia" w:ascii="宋体" w:hAnsi="宋体"/>
                <w:color w:val="auto"/>
                <w:sz w:val="21"/>
                <w:szCs w:val="21"/>
                <w:highlight w:val="none"/>
                <w:lang w:val="en-US" w:eastAsia="zh-CN"/>
              </w:rPr>
              <w:t>分</w:t>
            </w:r>
            <w:r>
              <w:rPr>
                <w:rFonts w:hint="eastAsia" w:ascii="宋体" w:hAnsi="宋体"/>
                <w:color w:val="auto"/>
                <w:sz w:val="21"/>
                <w:szCs w:val="21"/>
                <w:highlight w:val="none"/>
              </w:rPr>
              <w:t>）</w:t>
            </w:r>
          </w:p>
        </w:tc>
        <w:tc>
          <w:tcPr>
            <w:tcW w:w="402" w:type="pct"/>
            <w:vAlign w:val="center"/>
          </w:tcPr>
          <w:p w14:paraId="6650D49F">
            <w:pPr>
              <w:spacing w:line="360" w:lineRule="auto"/>
              <w:ind w:firstLine="28"/>
              <w:jc w:val="center"/>
              <w:rPr>
                <w:rFonts w:hint="eastAsia" w:ascii="宋体" w:hAnsi="宋体" w:eastAsia="宋体"/>
                <w:color w:val="auto"/>
                <w:sz w:val="21"/>
                <w:szCs w:val="21"/>
                <w:highlight w:val="none"/>
                <w:lang w:val="en-US" w:eastAsia="zh-CN"/>
              </w:rPr>
            </w:pPr>
            <w:r>
              <w:rPr>
                <w:rFonts w:ascii="宋体" w:hAnsi="宋体"/>
                <w:color w:val="auto"/>
                <w:sz w:val="21"/>
                <w:szCs w:val="21"/>
                <w:highlight w:val="none"/>
              </w:rPr>
              <w:t>8</w:t>
            </w:r>
            <w:r>
              <w:rPr>
                <w:rFonts w:hint="eastAsia" w:ascii="宋体" w:hAnsi="宋体"/>
                <w:color w:val="auto"/>
                <w:sz w:val="21"/>
                <w:szCs w:val="21"/>
                <w:highlight w:val="none"/>
                <w:lang w:val="en-US" w:eastAsia="zh-CN"/>
              </w:rPr>
              <w:t>分</w:t>
            </w:r>
          </w:p>
        </w:tc>
        <w:tc>
          <w:tcPr>
            <w:tcW w:w="2255" w:type="pct"/>
            <w:vAlign w:val="center"/>
          </w:tcPr>
          <w:p w14:paraId="2D6C0A1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ascii="宋体" w:hAnsi="宋体"/>
                <w:color w:val="auto"/>
                <w:sz w:val="21"/>
                <w:szCs w:val="21"/>
                <w:highlight w:val="none"/>
              </w:rPr>
              <w:t>1</w:t>
            </w:r>
            <w:r>
              <w:rPr>
                <w:rFonts w:hint="eastAsia" w:ascii="宋体" w:hAnsi="宋体"/>
                <w:color w:val="auto"/>
                <w:sz w:val="21"/>
                <w:szCs w:val="21"/>
                <w:highlight w:val="none"/>
              </w:rPr>
              <w:t>月1日至今，供应商承办过类似培训服务的，每提供1个有效合同得</w:t>
            </w:r>
            <w:r>
              <w:rPr>
                <w:rFonts w:ascii="宋体" w:hAnsi="宋体"/>
                <w:color w:val="auto"/>
                <w:sz w:val="21"/>
                <w:szCs w:val="21"/>
                <w:highlight w:val="none"/>
              </w:rPr>
              <w:t>2</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最高得</w:t>
            </w:r>
            <w:r>
              <w:rPr>
                <w:rFonts w:ascii="宋体" w:hAnsi="宋体"/>
                <w:color w:val="auto"/>
                <w:sz w:val="21"/>
                <w:szCs w:val="21"/>
                <w:highlight w:val="none"/>
              </w:rPr>
              <w:t>8</w:t>
            </w:r>
            <w:r>
              <w:rPr>
                <w:rFonts w:hint="eastAsia" w:ascii="宋体" w:hAnsi="宋体"/>
                <w:color w:val="auto"/>
                <w:sz w:val="21"/>
                <w:szCs w:val="21"/>
                <w:highlight w:val="none"/>
              </w:rPr>
              <w:t>分。</w:t>
            </w:r>
          </w:p>
        </w:tc>
        <w:tc>
          <w:tcPr>
            <w:tcW w:w="869" w:type="pct"/>
            <w:vAlign w:val="center"/>
          </w:tcPr>
          <w:p w14:paraId="485DB318">
            <w:pPr>
              <w:spacing w:line="360" w:lineRule="auto"/>
              <w:ind w:left="-38"/>
              <w:rPr>
                <w:rFonts w:ascii="宋体" w:hAnsi="宋体"/>
                <w:color w:val="auto"/>
                <w:sz w:val="21"/>
                <w:szCs w:val="21"/>
                <w:highlight w:val="none"/>
              </w:rPr>
            </w:pPr>
            <w:r>
              <w:rPr>
                <w:rFonts w:hint="eastAsia" w:ascii="宋体" w:hAnsi="宋体"/>
                <w:color w:val="auto"/>
                <w:sz w:val="21"/>
                <w:szCs w:val="21"/>
                <w:highlight w:val="none"/>
              </w:rPr>
              <w:t>提供合同或其他业绩证明材料复印件，加盖供应商公章。</w:t>
            </w:r>
          </w:p>
        </w:tc>
      </w:tr>
      <w:tr w14:paraId="752C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73" w:type="pct"/>
            <w:vMerge w:val="continue"/>
            <w:vAlign w:val="center"/>
          </w:tcPr>
          <w:p w14:paraId="231CC709">
            <w:pPr>
              <w:spacing w:line="360" w:lineRule="auto"/>
              <w:ind w:firstLine="28"/>
              <w:jc w:val="center"/>
              <w:rPr>
                <w:rFonts w:ascii="宋体" w:hAnsi="宋体"/>
                <w:color w:val="auto"/>
                <w:sz w:val="21"/>
                <w:szCs w:val="21"/>
                <w:highlight w:val="none"/>
              </w:rPr>
            </w:pPr>
          </w:p>
        </w:tc>
        <w:tc>
          <w:tcPr>
            <w:tcW w:w="536" w:type="pct"/>
            <w:vMerge w:val="continue"/>
            <w:vAlign w:val="center"/>
          </w:tcPr>
          <w:p w14:paraId="354EBC12">
            <w:pPr>
              <w:spacing w:line="360" w:lineRule="auto"/>
              <w:ind w:firstLine="28"/>
              <w:jc w:val="center"/>
              <w:rPr>
                <w:rFonts w:ascii="宋体" w:hAnsi="宋体"/>
                <w:color w:val="auto"/>
                <w:sz w:val="21"/>
                <w:szCs w:val="21"/>
                <w:highlight w:val="none"/>
              </w:rPr>
            </w:pPr>
          </w:p>
        </w:tc>
        <w:tc>
          <w:tcPr>
            <w:tcW w:w="663" w:type="pct"/>
            <w:vAlign w:val="center"/>
          </w:tcPr>
          <w:p w14:paraId="749ACA6C">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资格能力（3</w:t>
            </w:r>
            <w:r>
              <w:rPr>
                <w:rFonts w:hint="eastAsia" w:ascii="宋体" w:hAnsi="宋体"/>
                <w:color w:val="auto"/>
                <w:sz w:val="21"/>
                <w:szCs w:val="21"/>
                <w:highlight w:val="none"/>
                <w:lang w:val="en-US" w:eastAsia="zh-CN"/>
              </w:rPr>
              <w:t>分</w:t>
            </w:r>
            <w:r>
              <w:rPr>
                <w:rFonts w:hint="eastAsia" w:ascii="宋体" w:hAnsi="宋体"/>
                <w:color w:val="auto"/>
                <w:sz w:val="21"/>
                <w:szCs w:val="21"/>
                <w:highlight w:val="none"/>
              </w:rPr>
              <w:t>）</w:t>
            </w:r>
          </w:p>
        </w:tc>
        <w:tc>
          <w:tcPr>
            <w:tcW w:w="402" w:type="pct"/>
            <w:vAlign w:val="center"/>
          </w:tcPr>
          <w:p w14:paraId="0CB07315">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分</w:t>
            </w:r>
          </w:p>
        </w:tc>
        <w:tc>
          <w:tcPr>
            <w:tcW w:w="2255" w:type="pct"/>
            <w:vAlign w:val="center"/>
          </w:tcPr>
          <w:p w14:paraId="681DC379">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供应商通过了ISO</w:t>
            </w:r>
            <w:r>
              <w:rPr>
                <w:rFonts w:ascii="宋体" w:hAnsi="宋体"/>
                <w:color w:val="auto"/>
                <w:sz w:val="21"/>
                <w:szCs w:val="21"/>
                <w:highlight w:val="none"/>
              </w:rPr>
              <w:t>9001</w:t>
            </w:r>
            <w:r>
              <w:rPr>
                <w:rFonts w:hint="eastAsia" w:ascii="宋体" w:hAnsi="宋体"/>
                <w:color w:val="auto"/>
                <w:sz w:val="21"/>
                <w:szCs w:val="21"/>
                <w:highlight w:val="none"/>
              </w:rPr>
              <w:t>质量管理体系认证的，得3分。</w:t>
            </w:r>
          </w:p>
        </w:tc>
        <w:tc>
          <w:tcPr>
            <w:tcW w:w="869" w:type="pct"/>
            <w:vAlign w:val="center"/>
          </w:tcPr>
          <w:p w14:paraId="34C473D2">
            <w:pPr>
              <w:spacing w:line="360" w:lineRule="auto"/>
              <w:ind w:left="-38"/>
              <w:rPr>
                <w:rFonts w:ascii="宋体" w:hAnsi="宋体"/>
                <w:color w:val="auto"/>
                <w:sz w:val="21"/>
                <w:szCs w:val="21"/>
                <w:highlight w:val="none"/>
              </w:rPr>
            </w:pPr>
            <w:r>
              <w:rPr>
                <w:rFonts w:hint="eastAsia" w:ascii="宋体" w:hAnsi="宋体"/>
                <w:color w:val="auto"/>
                <w:sz w:val="21"/>
                <w:szCs w:val="21"/>
                <w:highlight w:val="none"/>
              </w:rPr>
              <w:t>提供证明材料，加盖供应商公章。</w:t>
            </w:r>
          </w:p>
        </w:tc>
      </w:tr>
      <w:tr w14:paraId="7058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73" w:type="pct"/>
            <w:vMerge w:val="continue"/>
            <w:vAlign w:val="center"/>
          </w:tcPr>
          <w:p w14:paraId="6AAE02CB">
            <w:pPr>
              <w:spacing w:line="360" w:lineRule="auto"/>
              <w:ind w:firstLine="28"/>
              <w:jc w:val="center"/>
              <w:rPr>
                <w:rFonts w:ascii="宋体" w:hAnsi="宋体"/>
                <w:color w:val="auto"/>
                <w:sz w:val="21"/>
                <w:szCs w:val="21"/>
                <w:highlight w:val="none"/>
              </w:rPr>
            </w:pPr>
          </w:p>
        </w:tc>
        <w:tc>
          <w:tcPr>
            <w:tcW w:w="536" w:type="pct"/>
            <w:vMerge w:val="continue"/>
            <w:vAlign w:val="center"/>
          </w:tcPr>
          <w:p w14:paraId="3AEE9CA2">
            <w:pPr>
              <w:spacing w:line="360" w:lineRule="auto"/>
              <w:ind w:firstLine="28"/>
              <w:jc w:val="center"/>
              <w:rPr>
                <w:rFonts w:ascii="宋体" w:hAnsi="宋体"/>
                <w:color w:val="auto"/>
                <w:sz w:val="21"/>
                <w:szCs w:val="21"/>
                <w:highlight w:val="none"/>
              </w:rPr>
            </w:pPr>
          </w:p>
        </w:tc>
        <w:tc>
          <w:tcPr>
            <w:tcW w:w="663" w:type="pct"/>
            <w:vAlign w:val="center"/>
          </w:tcPr>
          <w:p w14:paraId="6DCFC67A">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人员能力（</w:t>
            </w:r>
            <w:r>
              <w:rPr>
                <w:rFonts w:ascii="宋体" w:hAnsi="宋体"/>
                <w:color w:val="auto"/>
                <w:sz w:val="21"/>
                <w:szCs w:val="21"/>
                <w:highlight w:val="none"/>
              </w:rPr>
              <w:t>4</w:t>
            </w:r>
            <w:r>
              <w:rPr>
                <w:rFonts w:hint="eastAsia" w:ascii="宋体" w:hAnsi="宋体"/>
                <w:color w:val="auto"/>
                <w:sz w:val="21"/>
                <w:szCs w:val="21"/>
                <w:highlight w:val="none"/>
                <w:lang w:val="en-US" w:eastAsia="zh-CN"/>
              </w:rPr>
              <w:t>分</w:t>
            </w:r>
            <w:r>
              <w:rPr>
                <w:rFonts w:hint="eastAsia" w:ascii="宋体" w:hAnsi="宋体"/>
                <w:color w:val="auto"/>
                <w:sz w:val="21"/>
                <w:szCs w:val="21"/>
                <w:highlight w:val="none"/>
              </w:rPr>
              <w:t>）</w:t>
            </w:r>
          </w:p>
        </w:tc>
        <w:tc>
          <w:tcPr>
            <w:tcW w:w="402" w:type="pct"/>
            <w:vAlign w:val="center"/>
          </w:tcPr>
          <w:p w14:paraId="48A3241B">
            <w:pPr>
              <w:spacing w:line="360" w:lineRule="auto"/>
              <w:ind w:firstLine="28"/>
              <w:jc w:val="center"/>
              <w:rPr>
                <w:rFonts w:hint="eastAsia" w:ascii="宋体" w:hAnsi="宋体" w:eastAsia="宋体"/>
                <w:color w:val="auto"/>
                <w:sz w:val="21"/>
                <w:szCs w:val="21"/>
                <w:highlight w:val="none"/>
                <w:lang w:val="en-US" w:eastAsia="zh-CN"/>
              </w:rPr>
            </w:pPr>
            <w:r>
              <w:rPr>
                <w:rFonts w:ascii="宋体" w:hAnsi="宋体"/>
                <w:color w:val="auto"/>
                <w:sz w:val="21"/>
                <w:szCs w:val="21"/>
                <w:highlight w:val="none"/>
              </w:rPr>
              <w:t>4</w:t>
            </w:r>
            <w:r>
              <w:rPr>
                <w:rFonts w:hint="eastAsia" w:ascii="宋体" w:hAnsi="宋体"/>
                <w:color w:val="auto"/>
                <w:sz w:val="21"/>
                <w:szCs w:val="21"/>
                <w:highlight w:val="none"/>
                <w:lang w:val="en-US" w:eastAsia="zh-CN"/>
              </w:rPr>
              <w:t>分</w:t>
            </w:r>
          </w:p>
        </w:tc>
        <w:tc>
          <w:tcPr>
            <w:tcW w:w="2255" w:type="pct"/>
            <w:vAlign w:val="center"/>
          </w:tcPr>
          <w:p w14:paraId="721D6264">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供应商拟派本项目服务团队人员中，有参与类似培训项目服务的，提供1人得1人，满分4分。</w:t>
            </w:r>
          </w:p>
        </w:tc>
        <w:tc>
          <w:tcPr>
            <w:tcW w:w="869" w:type="pct"/>
            <w:vAlign w:val="center"/>
          </w:tcPr>
          <w:p w14:paraId="21FF9C45">
            <w:pPr>
              <w:spacing w:line="360" w:lineRule="auto"/>
              <w:ind w:left="-38"/>
              <w:rPr>
                <w:rFonts w:ascii="宋体" w:hAnsi="宋体"/>
                <w:color w:val="auto"/>
                <w:sz w:val="21"/>
                <w:szCs w:val="21"/>
                <w:highlight w:val="none"/>
              </w:rPr>
            </w:pPr>
            <w:r>
              <w:rPr>
                <w:rFonts w:hint="eastAsia" w:ascii="宋体" w:hAnsi="宋体"/>
                <w:color w:val="auto"/>
                <w:sz w:val="21"/>
                <w:szCs w:val="21"/>
                <w:highlight w:val="none"/>
              </w:rPr>
              <w:t>提供证明材料，加盖供应商公章。</w:t>
            </w:r>
          </w:p>
        </w:tc>
      </w:tr>
      <w:bookmarkEnd w:id="142"/>
    </w:tbl>
    <w:p w14:paraId="68B33351">
      <w:pPr>
        <w:pStyle w:val="6"/>
        <w:spacing w:before="0" w:after="0" w:line="540" w:lineRule="exact"/>
        <w:rPr>
          <w:rFonts w:ascii="宋体" w:hAnsi="宋体" w:cs="宋体"/>
          <w:color w:val="auto"/>
          <w:sz w:val="24"/>
          <w:szCs w:val="24"/>
          <w:highlight w:val="none"/>
        </w:rPr>
      </w:pPr>
      <w:r>
        <w:rPr>
          <w:rFonts w:hint="eastAsia" w:ascii="宋体" w:hAnsi="宋体" w:cs="宋体"/>
          <w:color w:val="auto"/>
          <w:sz w:val="24"/>
          <w:szCs w:val="24"/>
          <w:highlight w:val="none"/>
        </w:rPr>
        <w:t>注：</w:t>
      </w:r>
      <w:bookmarkEnd w:id="143"/>
      <w:bookmarkEnd w:id="144"/>
    </w:p>
    <w:p w14:paraId="693AC458">
      <w:pPr>
        <w:pStyle w:val="6"/>
        <w:spacing w:before="0" w:after="0" w:line="540" w:lineRule="exact"/>
        <w:ind w:firstLine="480" w:firstLineChars="200"/>
        <w:rPr>
          <w:rFonts w:ascii="宋体" w:hAnsi="宋体" w:cs="宋体"/>
          <w:b w:val="0"/>
          <w:bCs/>
          <w:color w:val="auto"/>
          <w:sz w:val="24"/>
          <w:szCs w:val="24"/>
          <w:highlight w:val="none"/>
        </w:rPr>
      </w:pPr>
      <w:bookmarkStart w:id="145" w:name="_Toc13000"/>
      <w:bookmarkStart w:id="146" w:name="_Toc7520"/>
      <w:r>
        <w:rPr>
          <w:rFonts w:hint="eastAsia" w:ascii="宋体" w:hAnsi="宋体"/>
          <w:b w:val="0"/>
          <w:bCs/>
          <w:color w:val="auto"/>
          <w:sz w:val="24"/>
          <w:szCs w:val="24"/>
          <w:highlight w:val="none"/>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End w:id="145"/>
      <w:bookmarkEnd w:id="146"/>
    </w:p>
    <w:p w14:paraId="15019084">
      <w:pPr>
        <w:pStyle w:val="6"/>
        <w:spacing w:before="0" w:after="0" w:line="540" w:lineRule="exact"/>
        <w:ind w:firstLine="480" w:firstLineChars="200"/>
        <w:rPr>
          <w:rFonts w:ascii="宋体" w:hAnsi="宋体" w:cs="宋体"/>
          <w:b w:val="0"/>
          <w:bCs/>
          <w:color w:val="auto"/>
          <w:sz w:val="24"/>
          <w:szCs w:val="24"/>
          <w:highlight w:val="none"/>
        </w:rPr>
      </w:pPr>
      <w:bookmarkStart w:id="147" w:name="_Toc24672"/>
      <w:bookmarkStart w:id="148" w:name="_Toc20938"/>
      <w:r>
        <w:rPr>
          <w:rFonts w:hint="eastAsia" w:ascii="宋体" w:hAnsi="宋体" w:cs="宋体"/>
          <w:b w:val="0"/>
          <w:bCs/>
          <w:color w:val="auto"/>
          <w:sz w:val="24"/>
          <w:szCs w:val="24"/>
          <w:highlight w:val="none"/>
        </w:rPr>
        <w:t>（二）关于小微企业报价扣除比例说明</w:t>
      </w:r>
      <w:bookmarkEnd w:id="147"/>
      <w:bookmarkEnd w:id="148"/>
    </w:p>
    <w:p w14:paraId="45C257B5">
      <w:pPr>
        <w:pStyle w:val="6"/>
        <w:spacing w:before="0" w:after="0" w:line="540" w:lineRule="exact"/>
        <w:ind w:firstLine="480" w:firstLineChars="200"/>
        <w:rPr>
          <w:rFonts w:ascii="宋体" w:hAnsi="宋体" w:cs="宋体"/>
          <w:b w:val="0"/>
          <w:bCs/>
          <w:color w:val="auto"/>
          <w:sz w:val="24"/>
          <w:szCs w:val="24"/>
          <w:highlight w:val="none"/>
        </w:rPr>
      </w:pPr>
      <w:bookmarkStart w:id="149" w:name="_Toc29550"/>
      <w:bookmarkStart w:id="150" w:name="_Toc7314"/>
      <w:r>
        <w:rPr>
          <w:rFonts w:hint="eastAsia" w:ascii="宋体" w:hAnsi="宋体" w:cs="宋体"/>
          <w:b w:val="0"/>
          <w:bCs/>
          <w:color w:val="auto"/>
          <w:sz w:val="24"/>
          <w:szCs w:val="24"/>
          <w:highlight w:val="none"/>
        </w:rPr>
        <w:t>1.供应商为非联合体参与磋商的，对小微型企业给予</w:t>
      </w:r>
      <w:r>
        <w:rPr>
          <w:rFonts w:hint="eastAsia" w:ascii="宋体" w:hAnsi="宋体" w:cs="宋体"/>
          <w:b w:val="0"/>
          <w:bCs/>
          <w:color w:val="auto"/>
          <w:sz w:val="24"/>
          <w:szCs w:val="24"/>
          <w:highlight w:val="none"/>
          <w:u w:val="single"/>
        </w:rPr>
        <w:t>10%</w:t>
      </w:r>
      <w:r>
        <w:rPr>
          <w:rFonts w:hint="eastAsia" w:ascii="宋体" w:hAnsi="宋体" w:cs="宋体"/>
          <w:b w:val="0"/>
          <w:bCs/>
          <w:color w:val="auto"/>
          <w:sz w:val="24"/>
          <w:szCs w:val="24"/>
          <w:highlight w:val="none"/>
        </w:rPr>
        <w:t>的扣除，以扣除后的报价参与评审。</w:t>
      </w:r>
      <w:bookmarkEnd w:id="149"/>
      <w:bookmarkEnd w:id="150"/>
    </w:p>
    <w:p w14:paraId="19FC1DAE">
      <w:pPr>
        <w:pStyle w:val="6"/>
        <w:spacing w:before="0" w:after="0" w:line="540" w:lineRule="exact"/>
        <w:ind w:firstLine="480" w:firstLineChars="200"/>
        <w:rPr>
          <w:rFonts w:ascii="宋体" w:hAnsi="宋体" w:cs="宋体"/>
          <w:b w:val="0"/>
          <w:bCs/>
          <w:color w:val="auto"/>
          <w:sz w:val="24"/>
          <w:szCs w:val="24"/>
          <w:highlight w:val="none"/>
        </w:rPr>
      </w:pPr>
      <w:bookmarkStart w:id="151" w:name="_Toc11223"/>
      <w:bookmarkStart w:id="152" w:name="_Toc4663"/>
      <w:r>
        <w:rPr>
          <w:rFonts w:hint="eastAsia" w:ascii="宋体" w:hAnsi="宋体" w:cs="宋体"/>
          <w:b w:val="0"/>
          <w:bCs/>
          <w:color w:val="auto"/>
          <w:sz w:val="24"/>
          <w:szCs w:val="24"/>
          <w:highlight w:val="none"/>
        </w:rPr>
        <w:t>2.监狱企业、残疾人福利性单位视同小型、微型企业。</w:t>
      </w:r>
      <w:bookmarkEnd w:id="151"/>
      <w:bookmarkEnd w:id="152"/>
    </w:p>
    <w:p w14:paraId="7E69A5F7">
      <w:pPr>
        <w:pStyle w:val="6"/>
        <w:spacing w:before="0" w:after="0" w:line="540" w:lineRule="exact"/>
        <w:ind w:firstLine="482" w:firstLineChars="200"/>
        <w:rPr>
          <w:rFonts w:ascii="宋体" w:hAnsi="宋体" w:cs="宋体"/>
          <w:color w:val="auto"/>
          <w:sz w:val="24"/>
          <w:szCs w:val="24"/>
          <w:highlight w:val="none"/>
        </w:rPr>
      </w:pPr>
      <w:bookmarkStart w:id="153" w:name="_Toc27569"/>
      <w:bookmarkStart w:id="154" w:name="_Toc30750"/>
      <w:bookmarkStart w:id="155" w:name="_Toc16259"/>
      <w:r>
        <w:rPr>
          <w:rFonts w:hint="eastAsia" w:ascii="宋体" w:hAnsi="宋体" w:cs="宋体"/>
          <w:color w:val="auto"/>
          <w:sz w:val="24"/>
          <w:szCs w:val="24"/>
          <w:highlight w:val="none"/>
        </w:rPr>
        <w:t>三、无效响应</w:t>
      </w:r>
      <w:bookmarkEnd w:id="153"/>
      <w:bookmarkEnd w:id="154"/>
      <w:bookmarkEnd w:id="155"/>
    </w:p>
    <w:p w14:paraId="57F6BC7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3EEBA33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38F13A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0FCBCC7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29D9BA63">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6D51B21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530F4AD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2809A0CE">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08CBDCB8">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27F8F8E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0F030DE">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1ED0DBB">
      <w:pPr>
        <w:pStyle w:val="6"/>
        <w:spacing w:before="0" w:after="0" w:line="540" w:lineRule="exact"/>
        <w:ind w:firstLine="482" w:firstLineChars="200"/>
        <w:rPr>
          <w:rFonts w:ascii="宋体" w:hAnsi="宋体" w:cs="宋体"/>
          <w:color w:val="auto"/>
          <w:sz w:val="24"/>
          <w:szCs w:val="24"/>
          <w:highlight w:val="none"/>
        </w:rPr>
      </w:pPr>
      <w:bookmarkStart w:id="156" w:name="_Toc28120"/>
      <w:bookmarkStart w:id="157" w:name="_Toc2611"/>
      <w:bookmarkStart w:id="158" w:name="_Toc17589"/>
      <w:r>
        <w:rPr>
          <w:rFonts w:hint="eastAsia" w:ascii="宋体" w:hAnsi="宋体" w:cs="宋体"/>
          <w:color w:val="auto"/>
          <w:sz w:val="24"/>
          <w:szCs w:val="24"/>
          <w:highlight w:val="none"/>
        </w:rPr>
        <w:t>四、采购终止</w:t>
      </w:r>
      <w:bookmarkEnd w:id="156"/>
      <w:bookmarkEnd w:id="157"/>
      <w:bookmarkEnd w:id="158"/>
    </w:p>
    <w:p w14:paraId="5BA57153">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6509D4F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4ACBADA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C5083BF">
      <w:pPr>
        <w:spacing w:line="540" w:lineRule="exact"/>
        <w:ind w:firstLine="480" w:firstLineChars="200"/>
        <w:rPr>
          <w:rFonts w:ascii="宋体"/>
          <w:color w:val="auto"/>
          <w:sz w:val="36"/>
          <w:szCs w:val="30"/>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159" w:name="_Toc102227313"/>
    </w:p>
    <w:p w14:paraId="79A4565E">
      <w:pPr>
        <w:snapToGrid w:val="0"/>
        <w:spacing w:line="360" w:lineRule="auto"/>
        <w:rPr>
          <w:rFonts w:ascii="宋体"/>
          <w:color w:val="auto"/>
          <w:sz w:val="36"/>
          <w:szCs w:val="30"/>
          <w:highlight w:val="none"/>
        </w:rPr>
      </w:pPr>
    </w:p>
    <w:p w14:paraId="69975BB9">
      <w:pPr>
        <w:snapToGrid w:val="0"/>
        <w:spacing w:line="360" w:lineRule="auto"/>
        <w:rPr>
          <w:rFonts w:ascii="宋体"/>
          <w:color w:val="auto"/>
          <w:sz w:val="36"/>
          <w:szCs w:val="30"/>
          <w:highlight w:val="none"/>
        </w:rPr>
      </w:pPr>
    </w:p>
    <w:p w14:paraId="34611FDF">
      <w:pPr>
        <w:snapToGrid w:val="0"/>
        <w:spacing w:line="360" w:lineRule="auto"/>
        <w:rPr>
          <w:rFonts w:ascii="宋体"/>
          <w:color w:val="auto"/>
          <w:sz w:val="36"/>
          <w:szCs w:val="30"/>
          <w:highlight w:val="none"/>
        </w:rPr>
      </w:pPr>
    </w:p>
    <w:p w14:paraId="2A583055">
      <w:pPr>
        <w:pStyle w:val="70"/>
        <w:rPr>
          <w:color w:val="auto"/>
          <w:sz w:val="36"/>
          <w:szCs w:val="30"/>
          <w:highlight w:val="none"/>
        </w:rPr>
      </w:pPr>
    </w:p>
    <w:p w14:paraId="0F9AC1FB">
      <w:pPr>
        <w:pStyle w:val="5"/>
        <w:pageBreakBefore/>
        <w:spacing w:line="360" w:lineRule="auto"/>
        <w:jc w:val="center"/>
        <w:rPr>
          <w:rFonts w:ascii="宋体" w:hAnsi="宋体" w:eastAsia="宋体" w:cs="宋体"/>
          <w:b/>
          <w:bCs/>
          <w:color w:val="auto"/>
          <w:sz w:val="32"/>
          <w:szCs w:val="28"/>
          <w:highlight w:val="none"/>
        </w:rPr>
      </w:pPr>
      <w:bookmarkStart w:id="160" w:name="_Toc30537"/>
      <w:bookmarkStart w:id="161" w:name="_Toc20130552"/>
      <w:bookmarkStart w:id="162" w:name="_Toc32678"/>
      <w:r>
        <w:rPr>
          <w:rFonts w:hint="eastAsia" w:ascii="宋体" w:hAnsi="宋体" w:eastAsia="宋体" w:cs="宋体"/>
          <w:b/>
          <w:bCs/>
          <w:color w:val="auto"/>
          <w:sz w:val="32"/>
          <w:szCs w:val="28"/>
          <w:highlight w:val="none"/>
        </w:rPr>
        <w:t>第五篇  供应商须知</w:t>
      </w:r>
      <w:bookmarkEnd w:id="160"/>
      <w:bookmarkEnd w:id="161"/>
      <w:bookmarkEnd w:id="162"/>
    </w:p>
    <w:p w14:paraId="68E29085">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63" w:name="_Toc20130553"/>
      <w:bookmarkStart w:id="164" w:name="_Toc13036"/>
      <w:bookmarkStart w:id="165" w:name="_Toc11284"/>
      <w:bookmarkStart w:id="166" w:name="_Toc10978"/>
      <w:r>
        <w:rPr>
          <w:rFonts w:hint="eastAsia" w:ascii="宋体" w:hAnsi="宋体" w:cs="宋体"/>
          <w:color w:val="auto"/>
          <w:sz w:val="24"/>
          <w:szCs w:val="24"/>
          <w:highlight w:val="none"/>
        </w:rPr>
        <w:t>一、磋商费用</w:t>
      </w:r>
      <w:bookmarkEnd w:id="163"/>
      <w:bookmarkEnd w:id="164"/>
      <w:bookmarkEnd w:id="165"/>
      <w:bookmarkEnd w:id="166"/>
    </w:p>
    <w:p w14:paraId="42C9C5B1">
      <w:pPr>
        <w:pStyle w:val="184"/>
        <w:pageBreakBefore w:val="0"/>
        <w:widowControl w:val="0"/>
        <w:kinsoku/>
        <w:wordWrap/>
        <w:overflowPunct/>
        <w:topLinePunct w:val="0"/>
        <w:bidi w:val="0"/>
        <w:spacing w:line="5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1B3BA51">
      <w:pPr>
        <w:pStyle w:val="6"/>
        <w:pageBreakBefore w:val="0"/>
        <w:widowControl w:val="0"/>
        <w:tabs>
          <w:tab w:val="left" w:pos="2640"/>
        </w:tabs>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67" w:name="_Toc20130554"/>
      <w:bookmarkStart w:id="168" w:name="_Toc21212"/>
      <w:bookmarkStart w:id="169" w:name="_Toc12044"/>
      <w:bookmarkStart w:id="170" w:name="_Toc6755"/>
      <w:r>
        <w:rPr>
          <w:rFonts w:hint="eastAsia" w:ascii="宋体" w:hAnsi="宋体" w:cs="宋体"/>
          <w:color w:val="auto"/>
          <w:sz w:val="24"/>
          <w:szCs w:val="24"/>
          <w:highlight w:val="none"/>
        </w:rPr>
        <w:t>二、竞争性磋商文件</w:t>
      </w:r>
      <w:bookmarkEnd w:id="167"/>
      <w:bookmarkEnd w:id="168"/>
      <w:bookmarkEnd w:id="169"/>
      <w:bookmarkEnd w:id="170"/>
    </w:p>
    <w:p w14:paraId="49F76E15">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35445388">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72EC6DDC">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73B26A20">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F49834E">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0E5D4B46">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7FA49C1C">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71" w:name="_Toc21393"/>
      <w:bookmarkStart w:id="172" w:name="_Toc17421"/>
      <w:bookmarkStart w:id="173" w:name="_Toc20130555"/>
      <w:bookmarkStart w:id="174" w:name="_Toc31861"/>
      <w:r>
        <w:rPr>
          <w:rFonts w:hint="eastAsia" w:ascii="宋体" w:hAnsi="宋体" w:cs="宋体"/>
          <w:color w:val="auto"/>
          <w:sz w:val="24"/>
          <w:szCs w:val="24"/>
          <w:highlight w:val="none"/>
        </w:rPr>
        <w:t>三、磋商要求</w:t>
      </w:r>
      <w:bookmarkEnd w:id="171"/>
      <w:bookmarkEnd w:id="172"/>
      <w:bookmarkEnd w:id="173"/>
      <w:bookmarkEnd w:id="174"/>
    </w:p>
    <w:p w14:paraId="68276182">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4EB4071A">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4EAFD0CC">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9D156BD">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F8CC16B">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5D70E34B">
      <w:pPr>
        <w:pageBreakBefore w:val="0"/>
        <w:widowControl w:val="0"/>
        <w:kinsoku/>
        <w:wordWrap/>
        <w:overflowPunct/>
        <w:topLinePunct w:val="0"/>
        <w:bidi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49B62357">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49ED059C">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（四）</w:t>
      </w:r>
      <w:r>
        <w:rPr>
          <w:rFonts w:hint="eastAsia" w:ascii="宋体"/>
          <w:color w:val="auto"/>
          <w:sz w:val="24"/>
          <w:szCs w:val="24"/>
          <w:highlight w:val="none"/>
        </w:rPr>
        <w:t>磋商保证金：</w:t>
      </w:r>
    </w:p>
    <w:p w14:paraId="39869BFB">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1.供应商提交保证金金额和方式详见本文件第一篇“五、磋商保证金”；</w:t>
      </w:r>
    </w:p>
    <w:p w14:paraId="2637DAA8">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2.发生以下情况之一者，磋商保证金不予退还：</w:t>
      </w:r>
    </w:p>
    <w:p w14:paraId="290BB17A">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2.1 供应商在提交响应文件截止时间后撤回响应文件的；</w:t>
      </w:r>
    </w:p>
    <w:p w14:paraId="1E057161">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2.2 供应商在响应文件中提供虚假材料的；</w:t>
      </w:r>
    </w:p>
    <w:p w14:paraId="6C89B9B3">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2.3 除因不可抗力或竞争性磋商文件认可的情形以外，成交供应商不与采购人签订合同的；</w:t>
      </w:r>
    </w:p>
    <w:p w14:paraId="22C896FA">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2.4 供应商与采购人、其他供应商或者采购代理机构恶意串通的；</w:t>
      </w:r>
    </w:p>
    <w:p w14:paraId="3A75FF15">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13410589">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（五）修正错误</w:t>
      </w:r>
    </w:p>
    <w:p w14:paraId="1F988477">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DB1440D">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5375CD28">
      <w:pPr>
        <w:pStyle w:val="6"/>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75" w:name="_Toc30702"/>
      <w:bookmarkStart w:id="176" w:name="_Toc23059"/>
      <w:r>
        <w:rPr>
          <w:rFonts w:hint="eastAsia" w:ascii="宋体" w:hAnsi="宋体" w:cs="宋体"/>
          <w:b w:val="0"/>
          <w:bCs/>
          <w:color w:val="auto"/>
          <w:sz w:val="24"/>
          <w:szCs w:val="24"/>
          <w:highlight w:val="none"/>
        </w:rPr>
        <w:t>（六）提交响应文件的份数和签署</w:t>
      </w:r>
      <w:bookmarkEnd w:id="175"/>
      <w:bookmarkEnd w:id="176"/>
    </w:p>
    <w:p w14:paraId="52AA878C">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1.响应文件一式三份，其中正本一份，副本一份，电子文档一份（推荐采用</w:t>
      </w:r>
      <w:r>
        <w:rPr>
          <w:rFonts w:hint="eastAsia" w:ascii="宋体" w:hAnsi="宋体" w:cs="宋体"/>
          <w:color w:val="auto"/>
          <w:sz w:val="24"/>
          <w:szCs w:val="24"/>
          <w:highlight w:val="none"/>
          <w:lang w:val="en-US" w:eastAsia="zh-CN"/>
        </w:rPr>
        <w:t>U</w:t>
      </w:r>
      <w:r>
        <w:rPr>
          <w:rFonts w:hint="eastAsia" w:ascii="宋体" w:hAnsi="宋体" w:cs="宋体"/>
          <w:color w:val="auto"/>
          <w:sz w:val="24"/>
          <w:szCs w:val="24"/>
          <w:highlight w:val="none"/>
        </w:rPr>
        <w:t>盘为电子文档载体）；副本可为正本的复印件，应与正本一致，如出现不一致情况以正本为准。</w:t>
      </w:r>
    </w:p>
    <w:p w14:paraId="786C6DAF">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14:paraId="529CC702">
      <w:pPr>
        <w:pStyle w:val="6"/>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77" w:name="_Toc28184"/>
      <w:bookmarkStart w:id="178" w:name="_Toc17960"/>
      <w:r>
        <w:rPr>
          <w:rFonts w:hint="eastAsia" w:ascii="宋体" w:hAnsi="宋体" w:cs="宋体"/>
          <w:b w:val="0"/>
          <w:bCs/>
          <w:color w:val="auto"/>
          <w:sz w:val="24"/>
          <w:szCs w:val="24"/>
          <w:highlight w:val="none"/>
        </w:rPr>
        <w:t>（七）响应文件的递交</w:t>
      </w:r>
      <w:bookmarkEnd w:id="177"/>
      <w:bookmarkEnd w:id="178"/>
    </w:p>
    <w:p w14:paraId="7F9C2A64">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C1C203A">
      <w:pPr>
        <w:pStyle w:val="6"/>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79" w:name="_Toc26741"/>
      <w:bookmarkStart w:id="180" w:name="_Toc14105"/>
      <w:r>
        <w:rPr>
          <w:rFonts w:hint="eastAsia" w:ascii="宋体" w:hAnsi="宋体" w:cs="宋体"/>
          <w:b w:val="0"/>
          <w:bCs/>
          <w:color w:val="auto"/>
          <w:sz w:val="24"/>
          <w:szCs w:val="24"/>
          <w:highlight w:val="none"/>
        </w:rPr>
        <w:t>（八）供应商参与人员</w:t>
      </w:r>
      <w:bookmarkEnd w:id="179"/>
      <w:bookmarkEnd w:id="180"/>
    </w:p>
    <w:p w14:paraId="26D5C224">
      <w:pPr>
        <w:pageBreakBefore w:val="0"/>
        <w:widowControl w:val="0"/>
        <w:kinsoku/>
        <w:wordWrap/>
        <w:overflowPunct/>
        <w:topLinePunct w:val="0"/>
        <w:bidi w:val="0"/>
        <w:snapToGrid w:val="0"/>
        <w:spacing w:line="500" w:lineRule="exact"/>
        <w:ind w:firstLine="480" w:firstLineChars="200"/>
        <w:textAlignment w:val="auto"/>
        <w:rPr>
          <w:rFonts w:ascii="宋体"/>
          <w:color w:val="auto"/>
          <w:sz w:val="36"/>
          <w:szCs w:val="30"/>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bookmarkEnd w:id="159"/>
    <w:p w14:paraId="47ED5EA6">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81" w:name="_Toc25983"/>
      <w:bookmarkStart w:id="182" w:name="_Toc11725"/>
      <w:bookmarkStart w:id="183" w:name="_Toc6619"/>
      <w:r>
        <w:rPr>
          <w:rFonts w:hint="eastAsia" w:ascii="宋体" w:hAnsi="宋体" w:cs="宋体"/>
          <w:color w:val="auto"/>
          <w:sz w:val="24"/>
          <w:szCs w:val="24"/>
          <w:highlight w:val="none"/>
        </w:rPr>
        <w:t>四、成交供应商的确认和变更</w:t>
      </w:r>
      <w:bookmarkEnd w:id="181"/>
      <w:bookmarkEnd w:id="182"/>
      <w:bookmarkEnd w:id="183"/>
    </w:p>
    <w:p w14:paraId="3DB98CEF">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0073260B">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C94F94">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6D6E73AC">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73E68AE6">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84" w:name="_Toc28983"/>
      <w:bookmarkStart w:id="185" w:name="_Toc20130557"/>
      <w:bookmarkStart w:id="186" w:name="_Toc8056"/>
      <w:bookmarkStart w:id="187" w:name="_Toc4470"/>
      <w:r>
        <w:rPr>
          <w:rFonts w:hint="eastAsia" w:ascii="宋体" w:hAnsi="宋体" w:cs="宋体"/>
          <w:color w:val="auto"/>
          <w:sz w:val="24"/>
          <w:szCs w:val="24"/>
          <w:highlight w:val="none"/>
        </w:rPr>
        <w:t>五、成交通知</w:t>
      </w:r>
      <w:bookmarkEnd w:id="184"/>
      <w:bookmarkEnd w:id="185"/>
      <w:bookmarkEnd w:id="186"/>
      <w:bookmarkEnd w:id="187"/>
    </w:p>
    <w:p w14:paraId="7B455A5E">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14:paraId="754A44AF">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bookmarkStart w:id="188"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190DCF4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734663D7">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89" w:name="_Toc2451"/>
      <w:bookmarkStart w:id="190" w:name="_Toc29197"/>
      <w:bookmarkStart w:id="191" w:name="_Toc32622"/>
      <w:r>
        <w:rPr>
          <w:rFonts w:hint="eastAsia" w:ascii="宋体" w:hAnsi="宋体" w:cs="宋体"/>
          <w:color w:val="auto"/>
          <w:sz w:val="24"/>
          <w:szCs w:val="24"/>
          <w:highlight w:val="none"/>
        </w:rPr>
        <w:t>六、关于质疑和投诉</w:t>
      </w:r>
      <w:bookmarkEnd w:id="188"/>
      <w:bookmarkEnd w:id="189"/>
      <w:bookmarkEnd w:id="190"/>
      <w:bookmarkEnd w:id="191"/>
    </w:p>
    <w:p w14:paraId="3956FE46">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28C8A3C5">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val="en-US" w:eastAsia="zh-CN"/>
        </w:rPr>
        <w:t>受</w:t>
      </w:r>
      <w:r>
        <w:rPr>
          <w:rFonts w:hint="eastAsia" w:ascii="宋体" w:hAnsi="宋体" w:cs="宋体"/>
          <w:color w:val="auto"/>
          <w:sz w:val="24"/>
          <w:szCs w:val="24"/>
          <w:highlight w:val="none"/>
        </w:rPr>
        <w:t>到伤害的，可向采购人或采购代理机构以书面形式提出质疑。</w:t>
      </w:r>
    </w:p>
    <w:p w14:paraId="06B62FA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4D2495D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0C363766">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24DF081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0A581E53">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6597370B">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0AE751E4">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3D26E3C4">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368DF9E4">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77634219">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468FCA4F">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0D2B69FB">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100A3A9E">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7BA2D134">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782EEC42">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31C3906B">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15E4F22B">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56F846FE">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5DAA17B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23E4A11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6E535B1D">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40573F2">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DCBA36">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54570E20">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92" w:name="_Toc23003"/>
      <w:bookmarkStart w:id="193" w:name="_Toc32126"/>
      <w:bookmarkStart w:id="194" w:name="_Toc10985"/>
      <w:bookmarkStart w:id="195" w:name="_Toc20130559"/>
      <w:r>
        <w:rPr>
          <w:rFonts w:hint="eastAsia" w:ascii="宋体" w:hAnsi="宋体" w:cs="宋体"/>
          <w:color w:val="auto"/>
          <w:sz w:val="24"/>
          <w:szCs w:val="24"/>
          <w:highlight w:val="none"/>
        </w:rPr>
        <w:t>七、采购代理服务费</w:t>
      </w:r>
      <w:bookmarkEnd w:id="192"/>
      <w:bookmarkEnd w:id="193"/>
      <w:bookmarkEnd w:id="194"/>
      <w:bookmarkEnd w:id="195"/>
    </w:p>
    <w:p w14:paraId="2E03317D">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61"/>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1CC8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78" w:type="dxa"/>
          </w:tcPr>
          <w:p w14:paraId="54DCA46E">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bookmarkStart w:id="196" w:name="_Toc20130560"/>
            <w:bookmarkStart w:id="197" w:name="_Toc2863475"/>
          </w:p>
          <w:p w14:paraId="209879BC">
            <w:pPr>
              <w:pageBreakBefore w:val="0"/>
              <w:widowControl w:val="0"/>
              <w:kinsoku/>
              <w:wordWrap/>
              <w:overflowPunct/>
              <w:topLinePunct w:val="0"/>
              <w:bidi w:val="0"/>
              <w:spacing w:line="5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中标金额（万元）</w:t>
            </w:r>
          </w:p>
          <w:p w14:paraId="7E31CF25">
            <w:pPr>
              <w:pageBreakBefore w:val="0"/>
              <w:widowControl w:val="0"/>
              <w:kinsoku/>
              <w:wordWrap/>
              <w:overflowPunct/>
              <w:topLinePunct w:val="0"/>
              <w:bidi w:val="0"/>
              <w:spacing w:line="500" w:lineRule="exact"/>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招标类型</w:t>
            </w:r>
          </w:p>
        </w:tc>
        <w:tc>
          <w:tcPr>
            <w:tcW w:w="1866" w:type="dxa"/>
            <w:vAlign w:val="center"/>
          </w:tcPr>
          <w:p w14:paraId="5CDC74F5">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1852" w:type="dxa"/>
            <w:vAlign w:val="center"/>
          </w:tcPr>
          <w:p w14:paraId="6B024249">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1787" w:type="dxa"/>
            <w:vAlign w:val="center"/>
          </w:tcPr>
          <w:p w14:paraId="795F9729">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工程招标</w:t>
            </w:r>
          </w:p>
        </w:tc>
      </w:tr>
      <w:tr w14:paraId="5E9B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8" w:type="dxa"/>
            <w:vAlign w:val="center"/>
          </w:tcPr>
          <w:p w14:paraId="4D923D4C">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1866" w:type="dxa"/>
            <w:vAlign w:val="center"/>
          </w:tcPr>
          <w:p w14:paraId="245908F5">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852" w:type="dxa"/>
            <w:vAlign w:val="center"/>
          </w:tcPr>
          <w:p w14:paraId="0DE2E1D9">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787" w:type="dxa"/>
            <w:vAlign w:val="center"/>
          </w:tcPr>
          <w:p w14:paraId="7908D448">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r>
      <w:tr w14:paraId="711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198ADA56">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100-500（含500）</w:t>
            </w:r>
          </w:p>
        </w:tc>
        <w:tc>
          <w:tcPr>
            <w:tcW w:w="1866" w:type="dxa"/>
            <w:vAlign w:val="center"/>
          </w:tcPr>
          <w:p w14:paraId="6B6A30C9">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52" w:type="dxa"/>
            <w:vAlign w:val="center"/>
          </w:tcPr>
          <w:p w14:paraId="1B2103B2">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787" w:type="dxa"/>
            <w:vAlign w:val="center"/>
          </w:tcPr>
          <w:p w14:paraId="0019F470">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0.7%</w:t>
            </w:r>
          </w:p>
        </w:tc>
      </w:tr>
      <w:tr w14:paraId="1B6C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1D3346AD">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500-1000（含1000）</w:t>
            </w:r>
          </w:p>
        </w:tc>
        <w:tc>
          <w:tcPr>
            <w:tcW w:w="1866" w:type="dxa"/>
            <w:vAlign w:val="center"/>
          </w:tcPr>
          <w:p w14:paraId="76250974">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1852" w:type="dxa"/>
            <w:vAlign w:val="center"/>
          </w:tcPr>
          <w:p w14:paraId="5DDC288F">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1787" w:type="dxa"/>
            <w:vAlign w:val="center"/>
          </w:tcPr>
          <w:p w14:paraId="64B89E31">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0.55%</w:t>
            </w:r>
          </w:p>
        </w:tc>
      </w:tr>
      <w:tr w14:paraId="6AA1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8" w:type="dxa"/>
            <w:vAlign w:val="center"/>
          </w:tcPr>
          <w:p w14:paraId="55B22B9E">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1000-5000（含5000）</w:t>
            </w:r>
          </w:p>
        </w:tc>
        <w:tc>
          <w:tcPr>
            <w:tcW w:w="1866" w:type="dxa"/>
            <w:vAlign w:val="center"/>
          </w:tcPr>
          <w:p w14:paraId="2A66A31E">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0.5%</w:t>
            </w:r>
          </w:p>
        </w:tc>
        <w:tc>
          <w:tcPr>
            <w:tcW w:w="1852" w:type="dxa"/>
            <w:vAlign w:val="center"/>
          </w:tcPr>
          <w:p w14:paraId="08548E5C">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0.25%</w:t>
            </w:r>
          </w:p>
        </w:tc>
        <w:tc>
          <w:tcPr>
            <w:tcW w:w="1787" w:type="dxa"/>
            <w:vAlign w:val="center"/>
          </w:tcPr>
          <w:p w14:paraId="2AC88471">
            <w:pPr>
              <w:pageBreakBefore w:val="0"/>
              <w:widowControl w:val="0"/>
              <w:kinsoku/>
              <w:wordWrap/>
              <w:overflowPunct/>
              <w:topLinePunct w:val="0"/>
              <w:bidi w:val="0"/>
              <w:spacing w:line="5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0.35%</w:t>
            </w:r>
          </w:p>
        </w:tc>
      </w:tr>
    </w:tbl>
    <w:p w14:paraId="0EE910A5">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p w14:paraId="4A90434B">
      <w:pPr>
        <w:pStyle w:val="6"/>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98" w:name="_Toc9166"/>
      <w:bookmarkStart w:id="199" w:name="_Toc13702"/>
      <w:bookmarkStart w:id="200" w:name="_Toc28893"/>
      <w:bookmarkStart w:id="201" w:name="_Toc20130561"/>
      <w:r>
        <w:rPr>
          <w:rFonts w:hint="eastAsia" w:ascii="宋体" w:hAnsi="宋体" w:cs="宋体"/>
          <w:color w:val="auto"/>
          <w:sz w:val="24"/>
          <w:szCs w:val="24"/>
          <w:highlight w:val="none"/>
        </w:rPr>
        <w:t>八、签订合同</w:t>
      </w:r>
      <w:bookmarkEnd w:id="198"/>
      <w:bookmarkEnd w:id="199"/>
      <w:bookmarkEnd w:id="200"/>
      <w:bookmarkEnd w:id="201"/>
    </w:p>
    <w:p w14:paraId="7B886A03">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3587C796">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23C9D705">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14:paraId="1EFF0DB2">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279B1C52">
      <w:pPr>
        <w:pStyle w:val="70"/>
        <w:pageBreakBefore w:val="0"/>
        <w:widowControl w:val="0"/>
        <w:kinsoku/>
        <w:wordWrap/>
        <w:overflowPunct/>
        <w:topLinePunct w:val="0"/>
        <w:bidi w:val="0"/>
        <w:spacing w:line="500" w:lineRule="exact"/>
        <w:ind w:firstLine="480" w:firstLineChars="200"/>
        <w:textAlignment w:val="auto"/>
        <w:rPr>
          <w:color w:val="auto"/>
          <w:highlight w:val="none"/>
        </w:rPr>
      </w:pPr>
      <w:r>
        <w:rPr>
          <w:rFonts w:hint="eastAsia" w:hAnsi="宋体" w:cs="宋体"/>
          <w:color w:val="auto"/>
          <w:highlight w:val="none"/>
        </w:rPr>
        <w:t>（五）除不可抗力等因素外，成交通知书发出后，采购人改变成交结果，或者成交供应商拒绝签订政府采购合同的，应当承担相应的法律责任。</w:t>
      </w:r>
    </w:p>
    <w:bookmarkEnd w:id="196"/>
    <w:bookmarkEnd w:id="197"/>
    <w:p w14:paraId="0400EF8A">
      <w:pPr>
        <w:pStyle w:val="70"/>
        <w:spacing w:line="500" w:lineRule="exact"/>
        <w:rPr>
          <w:color w:val="auto"/>
          <w:szCs w:val="24"/>
          <w:highlight w:val="none"/>
        </w:rPr>
      </w:pPr>
    </w:p>
    <w:p w14:paraId="6C673F91">
      <w:pPr>
        <w:snapToGrid w:val="0"/>
        <w:spacing w:line="360" w:lineRule="auto"/>
        <w:jc w:val="center"/>
        <w:rPr>
          <w:rFonts w:ascii="宋体"/>
          <w:color w:val="auto"/>
          <w:sz w:val="44"/>
          <w:highlight w:val="none"/>
        </w:rPr>
        <w:sectPr>
          <w:footerReference r:id="rId5"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12" w:charSpace="0"/>
        </w:sectPr>
      </w:pPr>
      <w:bookmarkStart w:id="202" w:name="_Toc12789072"/>
    </w:p>
    <w:bookmarkEnd w:id="202"/>
    <w:p w14:paraId="053E1580">
      <w:pPr>
        <w:pStyle w:val="5"/>
        <w:pageBreakBefore/>
        <w:spacing w:line="360" w:lineRule="auto"/>
        <w:jc w:val="center"/>
        <w:rPr>
          <w:rFonts w:ascii="宋体" w:eastAsia="宋体"/>
          <w:b/>
          <w:bCs w:val="0"/>
          <w:color w:val="auto"/>
          <w:sz w:val="32"/>
          <w:szCs w:val="28"/>
          <w:highlight w:val="none"/>
        </w:rPr>
      </w:pPr>
      <w:bookmarkStart w:id="203" w:name="_Toc8292"/>
      <w:bookmarkStart w:id="204" w:name="_Toc19857"/>
      <w:bookmarkStart w:id="205" w:name="_Toc23764521"/>
      <w:r>
        <w:rPr>
          <w:rFonts w:hint="eastAsia" w:ascii="宋体" w:eastAsia="宋体"/>
          <w:b/>
          <w:bCs w:val="0"/>
          <w:color w:val="auto"/>
          <w:sz w:val="32"/>
          <w:szCs w:val="28"/>
          <w:highlight w:val="none"/>
        </w:rPr>
        <w:t>第六篇  合同草案条款</w:t>
      </w:r>
      <w:bookmarkEnd w:id="203"/>
      <w:bookmarkEnd w:id="204"/>
    </w:p>
    <w:p w14:paraId="2C0C373B">
      <w:pPr>
        <w:pStyle w:val="6"/>
        <w:pageBreakBefore w:val="0"/>
        <w:widowControl w:val="0"/>
        <w:kinsoku/>
        <w:wordWrap/>
        <w:overflowPunct/>
        <w:topLinePunct w:val="0"/>
        <w:autoSpaceDE/>
        <w:autoSpaceDN/>
        <w:bidi w:val="0"/>
        <w:spacing w:before="0" w:after="0" w:line="500" w:lineRule="exact"/>
        <w:ind w:firstLine="482" w:firstLineChars="200"/>
        <w:textAlignment w:val="auto"/>
        <w:rPr>
          <w:rFonts w:ascii="宋体"/>
          <w:color w:val="auto"/>
          <w:sz w:val="24"/>
          <w:szCs w:val="24"/>
          <w:highlight w:val="none"/>
        </w:rPr>
      </w:pPr>
      <w:bookmarkStart w:id="206" w:name="_Hlt41879464"/>
      <w:bookmarkEnd w:id="206"/>
      <w:bookmarkStart w:id="207" w:name="_Toc277084870"/>
      <w:bookmarkStart w:id="208" w:name="_Toc508007737"/>
      <w:bookmarkStart w:id="209" w:name="_Toc285722712"/>
      <w:bookmarkStart w:id="210" w:name="_Toc78194465"/>
      <w:bookmarkStart w:id="211" w:name="_Toc15310"/>
      <w:bookmarkStart w:id="212" w:name="_Toc16324"/>
      <w:r>
        <w:rPr>
          <w:rFonts w:hint="eastAsia" w:ascii="宋体"/>
          <w:color w:val="auto"/>
          <w:sz w:val="24"/>
          <w:szCs w:val="24"/>
          <w:highlight w:val="none"/>
        </w:rPr>
        <w:t>一、合同主要条款</w:t>
      </w:r>
      <w:bookmarkEnd w:id="207"/>
      <w:bookmarkEnd w:id="208"/>
      <w:bookmarkEnd w:id="209"/>
      <w:bookmarkEnd w:id="210"/>
      <w:bookmarkEnd w:id="211"/>
      <w:bookmarkEnd w:id="212"/>
    </w:p>
    <w:p w14:paraId="3C850E31">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（一）定义</w:t>
      </w:r>
    </w:p>
    <w:p w14:paraId="68F5C17B">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1.甲方（需方）即采购人，是指通过招标采购，接受服务的各级国家机关、事业单位和团体组织。</w:t>
      </w:r>
    </w:p>
    <w:p w14:paraId="2920DB78">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2.乙方（供方）即成交供应商，是指中标后提供服务的自然人、法人及其他组织。</w:t>
      </w:r>
    </w:p>
    <w:p w14:paraId="32CC5AB2">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3.合同是指由甲乙双方按照采购文件和响应文件的实质性内容，通过协商一致达成的书面协议。</w:t>
      </w:r>
    </w:p>
    <w:p w14:paraId="573BBC7A">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4.合同价格指以中标价格为依据，在供方全面履行合同义务后，需方应支付给供方的金额。</w:t>
      </w:r>
    </w:p>
    <w:p w14:paraId="4E523756">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（二）服务内容</w:t>
      </w:r>
    </w:p>
    <w:p w14:paraId="07F08AE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 xml:space="preserve">合同包括以下服务内容： </w:t>
      </w:r>
    </w:p>
    <w:p w14:paraId="1E2DB208">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（三）合同价格</w:t>
      </w:r>
    </w:p>
    <w:p w14:paraId="12A9B068">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1.合同价格即合同总价。</w:t>
      </w:r>
    </w:p>
    <w:p w14:paraId="6DD0CBF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2.合同价格</w:t>
      </w:r>
      <w:r>
        <w:rPr>
          <w:rFonts w:hint="eastAsia" w:ascii="宋体"/>
          <w:color w:val="auto"/>
          <w:sz w:val="24"/>
          <w:szCs w:val="24"/>
          <w:highlight w:val="none"/>
        </w:rPr>
        <w:t>包括（但不限于）</w:t>
      </w:r>
      <w:r>
        <w:rPr>
          <w:rFonts w:hint="eastAsia" w:ascii="宋体"/>
          <w:color w:val="auto"/>
          <w:sz w:val="24"/>
          <w:szCs w:val="24"/>
          <w:highlight w:val="none"/>
          <w:lang w:val="en-US" w:eastAsia="zh-CN"/>
        </w:rPr>
        <w:t>差旅费、</w:t>
      </w:r>
      <w:r>
        <w:rPr>
          <w:rFonts w:hint="eastAsia" w:ascii="宋体"/>
          <w:color w:val="auto"/>
          <w:sz w:val="24"/>
          <w:szCs w:val="24"/>
          <w:highlight w:val="none"/>
        </w:rPr>
        <w:t>人工费、保险费、税费等所有费用。因乙方供应商自身原因造成漏报、少报皆由其自行承担责任，甲方不再补偿。</w:t>
      </w:r>
    </w:p>
    <w:p w14:paraId="22670DAF">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3.合同价为不变价。</w:t>
      </w:r>
    </w:p>
    <w:p w14:paraId="5F77699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（四）转包和分包</w:t>
      </w:r>
    </w:p>
    <w:p w14:paraId="09F328D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1.本合同范围的所有服务工作，应由乙方直接提供，不得转让他人提供。</w:t>
      </w:r>
    </w:p>
    <w:p w14:paraId="40572175">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2.非经甲方书面同意，乙方不得将本合同范围的服务工作全部或部分转包给他人提供。</w:t>
      </w:r>
    </w:p>
    <w:p w14:paraId="33FF76CA">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3.如有转包和未经甲方同意的分包行为，甲方有权解除合同，没收履约保证金并追究乙方的违约责任。</w:t>
      </w:r>
    </w:p>
    <w:p w14:paraId="098E6EF2">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bCs/>
          <w:color w:val="auto"/>
          <w:sz w:val="24"/>
          <w:highlight w:val="none"/>
        </w:rPr>
        <w:t>（五）质量保证及售后服务</w:t>
      </w:r>
    </w:p>
    <w:p w14:paraId="270BAD5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1.乙方应按采购文件规定要求向甲方提供服务。</w:t>
      </w:r>
    </w:p>
    <w:p w14:paraId="703F07AF">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2.在服务期内，乙方应对服务质量负责。</w:t>
      </w:r>
    </w:p>
    <w:p w14:paraId="5E0603BB">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3.如甲方要求乙方提供履约保证金的，履约保证金的收取和退还应按本项目采购文件第三篇“项目商务要求”的要求处理。</w:t>
      </w:r>
    </w:p>
    <w:p w14:paraId="50166E72">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（六）付款</w:t>
      </w:r>
    </w:p>
    <w:p w14:paraId="05C2E5EE">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1.本合同使用货币币制如未作特别说明均为人民币。</w:t>
      </w:r>
    </w:p>
    <w:p w14:paraId="6A05AE0B">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2.付款方式：银行转账、现金支票。</w:t>
      </w:r>
    </w:p>
    <w:p w14:paraId="2B8ED010">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3.付款方法：参照本项目采购文件第三篇“项目商务要求”中关于付款方式的约定。</w:t>
      </w:r>
    </w:p>
    <w:p w14:paraId="4466170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（七）检查验收</w:t>
      </w:r>
    </w:p>
    <w:p w14:paraId="18C020D0">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（八）索赔</w:t>
      </w:r>
    </w:p>
    <w:p w14:paraId="14464D00">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供方对服务与合同要求不符负有责任，并且需方已于规定服务内期内提出索赔，供方应按需方同意的下述一种或多种方法解决索赔事宜。</w:t>
      </w:r>
    </w:p>
    <w:p w14:paraId="4C3A51E4">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（九）知识产权</w:t>
      </w:r>
    </w:p>
    <w:p w14:paraId="7E0F0C28">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3432A05B">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（十）合同争议的解决</w:t>
      </w:r>
    </w:p>
    <w:p w14:paraId="694F9636">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1.当事人友好协商达成一致；</w:t>
      </w:r>
    </w:p>
    <w:p w14:paraId="68A6CC8E">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2.在60天内当事人协商不能达成协议的，可提请采购人当地仲裁机构仲裁。</w:t>
      </w:r>
    </w:p>
    <w:p w14:paraId="1229A119">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（十一）违约责任</w:t>
      </w:r>
    </w:p>
    <w:p w14:paraId="616C9543">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按《中华人民共和国民法典》、《中华人民共和国政府采购法》有关条款，或由供需双方约定。</w:t>
      </w:r>
    </w:p>
    <w:p w14:paraId="79579CD6">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（十二）合同生效及其它</w:t>
      </w:r>
    </w:p>
    <w:p w14:paraId="677708EC">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1.合同生效及其效力应符合《中华人民共和国民法典》有关规定。</w:t>
      </w:r>
    </w:p>
    <w:p w14:paraId="4EBAE08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2.合同应经当事人法定代表人或委托代理人签字，加盖双方合同专用章或公章。</w:t>
      </w:r>
    </w:p>
    <w:p w14:paraId="38544F7D">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3.合同所包括附件，是合同不可分割的一部分，具有同等法法律效力。</w:t>
      </w:r>
    </w:p>
    <w:p w14:paraId="16B2150A">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4.本合同条件未尽事宜依照《中华人民共和国民法典》，由供需双方共同协商确定。</w:t>
      </w:r>
    </w:p>
    <w:p w14:paraId="59FD6143">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hint="eastAsia" w:ascii="宋体"/>
          <w:bCs/>
          <w:color w:val="auto"/>
          <w:sz w:val="24"/>
          <w:highlight w:val="none"/>
        </w:rPr>
        <w:sectPr>
          <w:footerReference r:id="rId6" w:type="default"/>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p>
    <w:p w14:paraId="276D04F9">
      <w:pPr>
        <w:spacing w:line="500" w:lineRule="exact"/>
        <w:rPr>
          <w:rFonts w:ascii="宋体" w:hAnsi="宋体" w:cs="宋体"/>
          <w:b/>
          <w:color w:val="auto"/>
          <w:sz w:val="30"/>
          <w:szCs w:val="30"/>
          <w:highlight w:val="none"/>
        </w:rPr>
      </w:pPr>
      <w:r>
        <w:rPr>
          <w:rFonts w:hint="eastAsia" w:ascii="宋体" w:hAnsi="宋体" w:cs="宋体"/>
          <w:b/>
          <w:color w:val="auto"/>
          <w:sz w:val="30"/>
          <w:szCs w:val="30"/>
          <w:highlight w:val="none"/>
        </w:rPr>
        <w:t>二、政府采购合同（格式）</w:t>
      </w:r>
    </w:p>
    <w:p w14:paraId="0D47DAA6">
      <w:pPr>
        <w:spacing w:line="500" w:lineRule="exact"/>
        <w:jc w:val="center"/>
        <w:rPr>
          <w:rFonts w:ascii="宋体" w:hAnsi="宋体" w:cs="宋体"/>
          <w:b/>
          <w:color w:val="auto"/>
          <w:sz w:val="44"/>
          <w:highlight w:val="none"/>
        </w:rPr>
      </w:pPr>
    </w:p>
    <w:p w14:paraId="52BB50B7">
      <w:pPr>
        <w:spacing w:line="500" w:lineRule="exact"/>
        <w:jc w:val="center"/>
        <w:rPr>
          <w:rFonts w:ascii="宋体" w:hAnsi="宋体" w:cs="宋体"/>
          <w:b/>
          <w:color w:val="auto"/>
          <w:sz w:val="44"/>
          <w:highlight w:val="none"/>
        </w:rPr>
      </w:pPr>
      <w:r>
        <w:rPr>
          <w:rFonts w:hint="eastAsia" w:ascii="宋体" w:hAnsi="宋体" w:cs="宋体"/>
          <w:b/>
          <w:color w:val="auto"/>
          <w:sz w:val="44"/>
          <w:highlight w:val="none"/>
        </w:rPr>
        <w:t>重庆市政府采购合同</w:t>
      </w:r>
    </w:p>
    <w:p w14:paraId="0F93DEFF">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509B1DE6">
      <w:pPr>
        <w:spacing w:line="500" w:lineRule="exact"/>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57250F87">
      <w:pPr>
        <w:spacing w:line="500" w:lineRule="exact"/>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6A8525BF">
      <w:pPr>
        <w:spacing w:line="500" w:lineRule="exact"/>
        <w:rPr>
          <w:rFonts w:ascii="宋体" w:hAnsi="宋体" w:cs="宋体"/>
          <w:color w:val="auto"/>
          <w:sz w:val="24"/>
          <w:highlight w:val="none"/>
        </w:rPr>
      </w:pPr>
    </w:p>
    <w:p w14:paraId="59B2F535">
      <w:pPr>
        <w:spacing w:line="500" w:lineRule="exact"/>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937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4A8B5E8A">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vAlign w:val="center"/>
          </w:tcPr>
          <w:p w14:paraId="583FACC4">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vAlign w:val="center"/>
          </w:tcPr>
          <w:p w14:paraId="64AB717A">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vAlign w:val="center"/>
          </w:tcPr>
          <w:p w14:paraId="662E0436">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vAlign w:val="center"/>
          </w:tcPr>
          <w:p w14:paraId="1ED00864">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vAlign w:val="center"/>
          </w:tcPr>
          <w:p w14:paraId="395A115F">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549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3B58A098">
            <w:pPr>
              <w:spacing w:line="240" w:lineRule="atLeast"/>
              <w:jc w:val="center"/>
              <w:rPr>
                <w:rFonts w:ascii="宋体" w:hAnsi="宋体" w:cs="宋体"/>
                <w:color w:val="auto"/>
                <w:sz w:val="21"/>
                <w:szCs w:val="21"/>
                <w:highlight w:val="none"/>
              </w:rPr>
            </w:pPr>
          </w:p>
        </w:tc>
        <w:tc>
          <w:tcPr>
            <w:tcW w:w="984" w:type="dxa"/>
            <w:vAlign w:val="center"/>
          </w:tcPr>
          <w:p w14:paraId="4AE01BB3">
            <w:pPr>
              <w:spacing w:line="240" w:lineRule="atLeast"/>
              <w:jc w:val="center"/>
              <w:rPr>
                <w:rFonts w:ascii="宋体" w:hAnsi="宋体" w:cs="宋体"/>
                <w:color w:val="auto"/>
                <w:sz w:val="21"/>
                <w:szCs w:val="21"/>
                <w:highlight w:val="none"/>
              </w:rPr>
            </w:pPr>
          </w:p>
        </w:tc>
        <w:tc>
          <w:tcPr>
            <w:tcW w:w="1298" w:type="dxa"/>
            <w:gridSpan w:val="2"/>
            <w:vAlign w:val="center"/>
          </w:tcPr>
          <w:p w14:paraId="3CC69A14">
            <w:pPr>
              <w:spacing w:line="240" w:lineRule="atLeast"/>
              <w:jc w:val="center"/>
              <w:rPr>
                <w:rFonts w:ascii="宋体" w:hAnsi="宋体" w:cs="宋体"/>
                <w:color w:val="auto"/>
                <w:sz w:val="21"/>
                <w:szCs w:val="21"/>
                <w:highlight w:val="none"/>
              </w:rPr>
            </w:pPr>
          </w:p>
        </w:tc>
        <w:tc>
          <w:tcPr>
            <w:tcW w:w="1134" w:type="dxa"/>
            <w:vAlign w:val="center"/>
          </w:tcPr>
          <w:p w14:paraId="58C7F17C">
            <w:pPr>
              <w:spacing w:line="240" w:lineRule="atLeast"/>
              <w:jc w:val="center"/>
              <w:rPr>
                <w:rFonts w:ascii="宋体" w:hAnsi="宋体" w:cs="宋体"/>
                <w:color w:val="auto"/>
                <w:sz w:val="21"/>
                <w:szCs w:val="21"/>
                <w:highlight w:val="none"/>
              </w:rPr>
            </w:pPr>
          </w:p>
        </w:tc>
        <w:tc>
          <w:tcPr>
            <w:tcW w:w="1559" w:type="dxa"/>
            <w:vAlign w:val="center"/>
          </w:tcPr>
          <w:p w14:paraId="3E7BE187">
            <w:pPr>
              <w:spacing w:line="240" w:lineRule="atLeast"/>
              <w:jc w:val="center"/>
              <w:rPr>
                <w:rFonts w:ascii="宋体" w:hAnsi="宋体" w:cs="宋体"/>
                <w:color w:val="auto"/>
                <w:sz w:val="21"/>
                <w:szCs w:val="21"/>
                <w:highlight w:val="none"/>
              </w:rPr>
            </w:pPr>
          </w:p>
        </w:tc>
        <w:tc>
          <w:tcPr>
            <w:tcW w:w="1567" w:type="dxa"/>
            <w:vAlign w:val="center"/>
          </w:tcPr>
          <w:p w14:paraId="2C5865F7">
            <w:pPr>
              <w:spacing w:line="240" w:lineRule="atLeast"/>
              <w:jc w:val="center"/>
              <w:rPr>
                <w:rFonts w:ascii="宋体" w:hAnsi="宋体" w:cs="宋体"/>
                <w:color w:val="auto"/>
                <w:sz w:val="21"/>
                <w:szCs w:val="21"/>
                <w:highlight w:val="none"/>
              </w:rPr>
            </w:pPr>
          </w:p>
        </w:tc>
      </w:tr>
      <w:tr w14:paraId="0B2B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5804640D">
            <w:pPr>
              <w:spacing w:line="240" w:lineRule="atLeast"/>
              <w:jc w:val="center"/>
              <w:rPr>
                <w:rFonts w:ascii="宋体" w:hAnsi="宋体" w:cs="宋体"/>
                <w:color w:val="auto"/>
                <w:sz w:val="21"/>
                <w:szCs w:val="21"/>
                <w:highlight w:val="none"/>
              </w:rPr>
            </w:pPr>
          </w:p>
        </w:tc>
        <w:tc>
          <w:tcPr>
            <w:tcW w:w="984" w:type="dxa"/>
            <w:vAlign w:val="center"/>
          </w:tcPr>
          <w:p w14:paraId="77092E00">
            <w:pPr>
              <w:spacing w:line="240" w:lineRule="atLeast"/>
              <w:jc w:val="center"/>
              <w:rPr>
                <w:rFonts w:ascii="宋体" w:hAnsi="宋体" w:cs="宋体"/>
                <w:color w:val="auto"/>
                <w:sz w:val="21"/>
                <w:szCs w:val="21"/>
                <w:highlight w:val="none"/>
              </w:rPr>
            </w:pPr>
          </w:p>
        </w:tc>
        <w:tc>
          <w:tcPr>
            <w:tcW w:w="1298" w:type="dxa"/>
            <w:gridSpan w:val="2"/>
            <w:vAlign w:val="center"/>
          </w:tcPr>
          <w:p w14:paraId="7E5FDCC2">
            <w:pPr>
              <w:spacing w:line="240" w:lineRule="atLeast"/>
              <w:jc w:val="center"/>
              <w:rPr>
                <w:rFonts w:ascii="宋体" w:hAnsi="宋体" w:cs="宋体"/>
                <w:color w:val="auto"/>
                <w:sz w:val="21"/>
                <w:szCs w:val="21"/>
                <w:highlight w:val="none"/>
              </w:rPr>
            </w:pPr>
          </w:p>
        </w:tc>
        <w:tc>
          <w:tcPr>
            <w:tcW w:w="1134" w:type="dxa"/>
            <w:vAlign w:val="center"/>
          </w:tcPr>
          <w:p w14:paraId="4204F196">
            <w:pPr>
              <w:spacing w:line="240" w:lineRule="atLeast"/>
              <w:jc w:val="center"/>
              <w:rPr>
                <w:rFonts w:ascii="宋体" w:hAnsi="宋体" w:cs="宋体"/>
                <w:color w:val="auto"/>
                <w:sz w:val="21"/>
                <w:szCs w:val="21"/>
                <w:highlight w:val="none"/>
              </w:rPr>
            </w:pPr>
          </w:p>
        </w:tc>
        <w:tc>
          <w:tcPr>
            <w:tcW w:w="1559" w:type="dxa"/>
            <w:vAlign w:val="center"/>
          </w:tcPr>
          <w:p w14:paraId="6585178D">
            <w:pPr>
              <w:spacing w:line="240" w:lineRule="atLeast"/>
              <w:jc w:val="center"/>
              <w:rPr>
                <w:rFonts w:ascii="宋体" w:hAnsi="宋体" w:cs="宋体"/>
                <w:color w:val="auto"/>
                <w:sz w:val="21"/>
                <w:szCs w:val="21"/>
                <w:highlight w:val="none"/>
              </w:rPr>
            </w:pPr>
          </w:p>
        </w:tc>
        <w:tc>
          <w:tcPr>
            <w:tcW w:w="1567" w:type="dxa"/>
            <w:vAlign w:val="center"/>
          </w:tcPr>
          <w:p w14:paraId="26E4C0FE">
            <w:pPr>
              <w:spacing w:line="240" w:lineRule="atLeast"/>
              <w:jc w:val="center"/>
              <w:rPr>
                <w:rFonts w:ascii="宋体" w:hAnsi="宋体" w:cs="宋体"/>
                <w:color w:val="auto"/>
                <w:sz w:val="21"/>
                <w:szCs w:val="21"/>
                <w:highlight w:val="none"/>
              </w:rPr>
            </w:pPr>
          </w:p>
        </w:tc>
      </w:tr>
      <w:tr w14:paraId="5BC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4E61A9F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299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5F7FE1F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2B76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tcPr>
          <w:p w14:paraId="16990DB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4F5F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F0A0D8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58D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047867A6">
            <w:pPr>
              <w:spacing w:line="240" w:lineRule="atLeast"/>
              <w:rPr>
                <w:rFonts w:ascii="宋体" w:hAnsi="宋体" w:cs="宋体"/>
                <w:color w:val="auto"/>
                <w:highlight w:val="none"/>
              </w:rPr>
            </w:pPr>
            <w:r>
              <w:rPr>
                <w:rFonts w:hint="eastAsia" w:ascii="宋体" w:hAnsi="宋体" w:cs="宋体"/>
                <w:color w:val="auto"/>
                <w:sz w:val="21"/>
                <w:szCs w:val="21"/>
                <w:highlight w:val="none"/>
              </w:rPr>
              <w:t>三、付款方式：</w:t>
            </w:r>
          </w:p>
        </w:tc>
      </w:tr>
      <w:tr w14:paraId="4CAC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38714EF6">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1A62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7D3963C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5695D1B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23A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3090EEE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68E5A67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06EE235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5085F08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72360D2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3108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4" w:type="dxa"/>
            <w:gridSpan w:val="3"/>
          </w:tcPr>
          <w:p w14:paraId="572D47B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4195305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038D740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10FA763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Pr>
          <w:p w14:paraId="4381985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037B37C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1E1BDD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48F628A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453F41A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4A3375A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37140F5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6AD97887">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04E5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C0C016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416EC675">
            <w:pPr>
              <w:spacing w:line="240" w:lineRule="atLeast"/>
              <w:rPr>
                <w:rFonts w:ascii="宋体" w:hAnsi="宋体" w:cs="宋体"/>
                <w:color w:val="auto"/>
                <w:sz w:val="21"/>
                <w:szCs w:val="21"/>
                <w:highlight w:val="none"/>
              </w:rPr>
            </w:pPr>
          </w:p>
          <w:p w14:paraId="29C8F17D">
            <w:pPr>
              <w:spacing w:line="240" w:lineRule="atLeast"/>
              <w:rPr>
                <w:rFonts w:ascii="宋体" w:hAnsi="宋体" w:cs="宋体"/>
                <w:color w:val="auto"/>
                <w:sz w:val="21"/>
                <w:szCs w:val="21"/>
                <w:highlight w:val="none"/>
              </w:rPr>
            </w:pPr>
          </w:p>
        </w:tc>
      </w:tr>
    </w:tbl>
    <w:p w14:paraId="393361CE">
      <w:pPr>
        <w:rPr>
          <w:rFonts w:ascii="宋体" w:hAnsi="宋体" w:cs="宋体"/>
          <w:color w:val="auto"/>
          <w:sz w:val="21"/>
          <w:szCs w:val="21"/>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签约时间：           年   月   日      签约地点：</w:t>
      </w:r>
    </w:p>
    <w:p w14:paraId="381E72E2">
      <w:pPr>
        <w:pStyle w:val="4"/>
        <w:spacing w:line="360" w:lineRule="auto"/>
        <w:jc w:val="center"/>
        <w:outlineLvl w:val="0"/>
        <w:rPr>
          <w:rFonts w:ascii="宋体" w:eastAsia="宋体"/>
          <w:b/>
          <w:bCs w:val="0"/>
          <w:color w:val="auto"/>
          <w:sz w:val="32"/>
          <w:szCs w:val="28"/>
          <w:highlight w:val="none"/>
        </w:rPr>
      </w:pPr>
      <w:bookmarkStart w:id="213" w:name="_Toc14130"/>
      <w:r>
        <w:rPr>
          <w:rFonts w:ascii="宋体" w:eastAsia="宋体"/>
          <w:b/>
          <w:bCs w:val="0"/>
          <w:color w:val="auto"/>
          <w:sz w:val="32"/>
          <w:szCs w:val="28"/>
          <w:highlight w:val="none"/>
        </w:rPr>
        <w:t>第七篇  响应文件编制要求</w:t>
      </w:r>
      <w:bookmarkEnd w:id="205"/>
      <w:bookmarkEnd w:id="213"/>
    </w:p>
    <w:p w14:paraId="78194201">
      <w:pPr>
        <w:spacing w:line="360" w:lineRule="auto"/>
        <w:ind w:firstLine="482" w:firstLineChars="200"/>
        <w:outlineLvl w:val="9"/>
        <w:rPr>
          <w:rFonts w:ascii="宋体" w:hAnsi="宋体" w:cs="宋体"/>
          <w:b/>
          <w:bCs/>
          <w:color w:val="auto"/>
          <w:sz w:val="24"/>
          <w:szCs w:val="24"/>
          <w:highlight w:val="none"/>
        </w:rPr>
      </w:pPr>
      <w:bookmarkStart w:id="214" w:name="_Toc9864"/>
      <w:r>
        <w:rPr>
          <w:rFonts w:hint="eastAsia" w:ascii="宋体" w:hAnsi="宋体" w:cs="宋体"/>
          <w:b/>
          <w:bCs/>
          <w:color w:val="auto"/>
          <w:sz w:val="24"/>
          <w:szCs w:val="24"/>
          <w:highlight w:val="none"/>
        </w:rPr>
        <w:t>一、经济部分</w:t>
      </w:r>
      <w:bookmarkEnd w:id="214"/>
    </w:p>
    <w:p w14:paraId="19EDC9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A94FE39">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报价明细表</w:t>
      </w:r>
    </w:p>
    <w:p w14:paraId="0555FF80">
      <w:pPr>
        <w:spacing w:line="360" w:lineRule="auto"/>
        <w:ind w:firstLine="480" w:firstLineChars="200"/>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6E74BF9A">
      <w:pPr>
        <w:spacing w:line="360" w:lineRule="auto"/>
        <w:ind w:firstLine="482" w:firstLineChars="200"/>
        <w:outlineLvl w:val="9"/>
        <w:rPr>
          <w:rFonts w:ascii="宋体" w:hAnsi="宋体" w:cs="宋体"/>
          <w:b/>
          <w:bCs/>
          <w:color w:val="auto"/>
          <w:sz w:val="24"/>
          <w:szCs w:val="24"/>
          <w:highlight w:val="none"/>
        </w:rPr>
      </w:pPr>
      <w:bookmarkStart w:id="215" w:name="_Toc28266"/>
      <w:r>
        <w:rPr>
          <w:rFonts w:hint="eastAsia" w:ascii="宋体" w:hAnsi="宋体" w:cs="宋体"/>
          <w:b/>
          <w:bCs/>
          <w:color w:val="auto"/>
          <w:sz w:val="24"/>
          <w:szCs w:val="24"/>
          <w:highlight w:val="none"/>
        </w:rPr>
        <w:t>二、技术部分</w:t>
      </w:r>
      <w:bookmarkEnd w:id="215"/>
    </w:p>
    <w:p w14:paraId="4A7465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0BB4E2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（二）技术部分评分所需资料（格式自定）</w:t>
      </w:r>
    </w:p>
    <w:p w14:paraId="7091F8BB">
      <w:pPr>
        <w:spacing w:line="360" w:lineRule="auto"/>
        <w:ind w:firstLine="482" w:firstLineChars="200"/>
        <w:outlineLvl w:val="9"/>
        <w:rPr>
          <w:rFonts w:ascii="宋体" w:hAnsi="宋体" w:cs="宋体"/>
          <w:b/>
          <w:bCs/>
          <w:color w:val="auto"/>
          <w:sz w:val="24"/>
          <w:szCs w:val="24"/>
          <w:highlight w:val="none"/>
        </w:rPr>
      </w:pPr>
      <w:bookmarkStart w:id="216" w:name="_Toc32373"/>
      <w:r>
        <w:rPr>
          <w:rFonts w:hint="eastAsia" w:ascii="宋体" w:hAnsi="宋体" w:cs="宋体"/>
          <w:b/>
          <w:bCs/>
          <w:color w:val="auto"/>
          <w:sz w:val="24"/>
          <w:szCs w:val="24"/>
          <w:highlight w:val="none"/>
        </w:rPr>
        <w:t>三、商务部分</w:t>
      </w:r>
      <w:bookmarkEnd w:id="216"/>
    </w:p>
    <w:p w14:paraId="39A0E6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0C7199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249C4F1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729CB712">
      <w:pPr>
        <w:spacing w:line="360" w:lineRule="auto"/>
        <w:ind w:firstLine="482" w:firstLineChars="200"/>
        <w:outlineLvl w:val="9"/>
        <w:rPr>
          <w:rFonts w:ascii="宋体" w:hAnsi="宋体" w:cs="宋体"/>
          <w:b/>
          <w:bCs/>
          <w:color w:val="auto"/>
          <w:sz w:val="24"/>
          <w:szCs w:val="24"/>
          <w:highlight w:val="none"/>
        </w:rPr>
      </w:pPr>
      <w:bookmarkStart w:id="217" w:name="_Toc32427"/>
      <w:r>
        <w:rPr>
          <w:rFonts w:hint="eastAsia" w:ascii="宋体" w:hAnsi="宋体" w:cs="宋体"/>
          <w:b/>
          <w:bCs/>
          <w:color w:val="auto"/>
          <w:sz w:val="24"/>
          <w:szCs w:val="24"/>
          <w:highlight w:val="none"/>
        </w:rPr>
        <w:t>四、资格条件及其他</w:t>
      </w:r>
      <w:bookmarkEnd w:id="217"/>
    </w:p>
    <w:p w14:paraId="1333C09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DC409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382BA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4E5893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3BBF8093">
      <w:pPr>
        <w:spacing w:line="360" w:lineRule="auto"/>
        <w:ind w:firstLine="482" w:firstLineChars="200"/>
        <w:outlineLvl w:val="9"/>
        <w:rPr>
          <w:rFonts w:ascii="宋体" w:hAnsi="宋体" w:cs="宋体"/>
          <w:b/>
          <w:bCs/>
          <w:color w:val="auto"/>
          <w:sz w:val="24"/>
          <w:szCs w:val="24"/>
          <w:highlight w:val="none"/>
        </w:rPr>
      </w:pPr>
      <w:bookmarkStart w:id="218" w:name="_Toc30389"/>
      <w:r>
        <w:rPr>
          <w:rFonts w:hint="eastAsia" w:ascii="宋体" w:hAnsi="宋体" w:cs="宋体"/>
          <w:b/>
          <w:bCs/>
          <w:color w:val="auto"/>
          <w:sz w:val="24"/>
          <w:szCs w:val="24"/>
          <w:highlight w:val="none"/>
        </w:rPr>
        <w:t>五、其他资料</w:t>
      </w:r>
      <w:bookmarkEnd w:id="218"/>
    </w:p>
    <w:p w14:paraId="622AD0C1">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0C4FF2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535E181B">
      <w:pPr>
        <w:pStyle w:val="35"/>
        <w:spacing w:line="360" w:lineRule="auto"/>
        <w:ind w:firstLine="480" w:firstLineChars="200"/>
        <w:rPr>
          <w:rFonts w:ascii="方正仿宋_GBK" w:hAnsi="宋体" w:eastAsia="方正仿宋_GBK"/>
          <w:color w:val="auto"/>
          <w:sz w:val="24"/>
          <w:szCs w:val="24"/>
          <w:highlight w:val="none"/>
        </w:rPr>
      </w:pPr>
    </w:p>
    <w:p w14:paraId="28C9D947">
      <w:pPr>
        <w:snapToGrid w:val="0"/>
        <w:spacing w:line="360" w:lineRule="auto"/>
        <w:ind w:firstLine="480" w:firstLineChars="200"/>
        <w:rPr>
          <w:rFonts w:ascii="宋体" w:hAnsi="宋体"/>
          <w:color w:val="auto"/>
          <w:sz w:val="24"/>
          <w:szCs w:val="24"/>
          <w:highlight w:val="none"/>
        </w:rPr>
        <w:sectPr>
          <w:headerReference r:id="rId7"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0" w:charSpace="0"/>
        </w:sectPr>
      </w:pPr>
    </w:p>
    <w:p w14:paraId="5A8D30D1">
      <w:pPr>
        <w:spacing w:before="0" w:after="0" w:line="360" w:lineRule="auto"/>
        <w:ind w:firstLine="482" w:firstLineChars="200"/>
        <w:outlineLvl w:val="9"/>
        <w:rPr>
          <w:rFonts w:ascii="宋体" w:hAnsi="宋体" w:cs="宋体"/>
          <w:b/>
          <w:bCs/>
          <w:color w:val="auto"/>
          <w:sz w:val="24"/>
          <w:szCs w:val="24"/>
          <w:highlight w:val="none"/>
        </w:rPr>
      </w:pPr>
      <w:bookmarkStart w:id="219" w:name="_Toc313888360"/>
      <w:bookmarkStart w:id="220" w:name="_Toc342913419"/>
      <w:bookmarkStart w:id="221" w:name="_Toc20130567"/>
      <w:bookmarkStart w:id="222" w:name="_Toc313008356"/>
      <w:bookmarkStart w:id="223" w:name="_Toc30513"/>
      <w:bookmarkStart w:id="224" w:name="_Toc20844"/>
      <w:bookmarkStart w:id="225" w:name="_Toc18307"/>
      <w:bookmarkStart w:id="226" w:name="_Toc283382454"/>
      <w:bookmarkStart w:id="227" w:name="_Toc12789073"/>
      <w:bookmarkStart w:id="228" w:name="_Toc342913420"/>
      <w:bookmarkStart w:id="229" w:name="_Toc313008357"/>
      <w:bookmarkStart w:id="230" w:name="_Toc23764523"/>
      <w:bookmarkStart w:id="231" w:name="_Toc313888361"/>
      <w:r>
        <w:rPr>
          <w:rFonts w:hint="eastAsia" w:ascii="宋体" w:hAnsi="宋体" w:cs="宋体"/>
          <w:b/>
          <w:bCs/>
          <w:color w:val="auto"/>
          <w:sz w:val="24"/>
          <w:szCs w:val="24"/>
          <w:highlight w:val="none"/>
        </w:rPr>
        <w:t>一、经济部分</w:t>
      </w:r>
      <w:bookmarkEnd w:id="219"/>
      <w:bookmarkEnd w:id="220"/>
      <w:bookmarkEnd w:id="221"/>
      <w:bookmarkEnd w:id="222"/>
      <w:bookmarkEnd w:id="223"/>
      <w:bookmarkEnd w:id="224"/>
      <w:bookmarkEnd w:id="225"/>
    </w:p>
    <w:bookmarkEnd w:id="226"/>
    <w:bookmarkEnd w:id="227"/>
    <w:p w14:paraId="39DAAFAF">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28D353A6">
      <w:pPr>
        <w:tabs>
          <w:tab w:val="left" w:pos="6300"/>
        </w:tabs>
        <w:snapToGrid w:val="0"/>
        <w:spacing w:line="520" w:lineRule="exact"/>
        <w:jc w:val="center"/>
        <w:outlineLvl w:val="9"/>
        <w:rPr>
          <w:rFonts w:ascii="宋体" w:hAnsi="宋体" w:cs="宋体"/>
          <w:b/>
          <w:color w:val="auto"/>
          <w:szCs w:val="28"/>
          <w:highlight w:val="none"/>
        </w:rPr>
      </w:pPr>
      <w:bookmarkStart w:id="232" w:name="_Toc391"/>
      <w:r>
        <w:rPr>
          <w:rFonts w:hint="eastAsia" w:ascii="宋体" w:hAnsi="宋体" w:cs="宋体"/>
          <w:b/>
          <w:color w:val="auto"/>
          <w:szCs w:val="28"/>
          <w:highlight w:val="none"/>
        </w:rPr>
        <w:t>竞争性磋商报价函</w:t>
      </w:r>
      <w:bookmarkEnd w:id="232"/>
    </w:p>
    <w:p w14:paraId="697FF68E">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59E25430">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6727A9F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1A0F74A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26099A77">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7E5EF8DD">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0093A91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7C208DE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64AE128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339DE8D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5EDD0C13">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90EBEDB">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7B14497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03B74D42">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38C5F5C1">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345B4ACD">
      <w:pPr>
        <w:tabs>
          <w:tab w:val="left" w:pos="6300"/>
        </w:tabs>
        <w:snapToGrid w:val="0"/>
        <w:spacing w:line="520" w:lineRule="exact"/>
        <w:ind w:firstLine="570"/>
        <w:rPr>
          <w:rFonts w:ascii="宋体" w:hAnsi="宋体" w:cs="宋体"/>
          <w:color w:val="auto"/>
          <w:sz w:val="24"/>
          <w:szCs w:val="24"/>
          <w:highlight w:val="none"/>
        </w:rPr>
      </w:pPr>
    </w:p>
    <w:p w14:paraId="6F49A71B">
      <w:pPr>
        <w:snapToGrid w:val="0"/>
        <w:spacing w:line="520" w:lineRule="exact"/>
        <w:ind w:firstLine="480" w:firstLineChars="200"/>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 xml:space="preserve">                                                  年   月   日</w:t>
      </w:r>
    </w:p>
    <w:p w14:paraId="6BBF9BE2">
      <w:pPr>
        <w:numPr>
          <w:ilvl w:val="0"/>
          <w:numId w:val="16"/>
        </w:numPr>
        <w:tabs>
          <w:tab w:val="left" w:pos="6300"/>
        </w:tabs>
        <w:snapToGrid w:val="0"/>
        <w:spacing w:line="520" w:lineRule="exact"/>
        <w:ind w:firstLine="480" w:firstLineChars="200"/>
        <w:rPr>
          <w:rFonts w:hint="eastAsia"/>
          <w:color w:val="auto"/>
          <w:highlight w:val="none"/>
        </w:rPr>
      </w:pPr>
      <w:r>
        <w:rPr>
          <w:rFonts w:hint="eastAsia" w:ascii="宋体" w:hAnsi="宋体" w:cs="宋体"/>
          <w:color w:val="auto"/>
          <w:sz w:val="24"/>
          <w:szCs w:val="24"/>
          <w:highlight w:val="none"/>
          <w:lang w:eastAsia="zh-CN"/>
        </w:rPr>
        <w:t>报价明细表</w:t>
      </w:r>
    </w:p>
    <w:p w14:paraId="040170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36C37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磋商项目名称： </w:t>
      </w:r>
    </w:p>
    <w:p w14:paraId="67A635FD">
      <w:pPr>
        <w:rPr>
          <w:rFonts w:hint="eastAsia"/>
          <w:color w:val="auto"/>
          <w:highlight w:val="none"/>
        </w:rPr>
      </w:pPr>
    </w:p>
    <w:tbl>
      <w:tblPr>
        <w:tblStyle w:val="60"/>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499"/>
        <w:gridCol w:w="3870"/>
        <w:gridCol w:w="1380"/>
        <w:gridCol w:w="1041"/>
      </w:tblGrid>
      <w:tr w14:paraId="612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804" w:type="dxa"/>
            <w:noWrap w:val="0"/>
            <w:vAlign w:val="center"/>
          </w:tcPr>
          <w:p w14:paraId="0037746A">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2499" w:type="dxa"/>
            <w:noWrap w:val="0"/>
            <w:vAlign w:val="center"/>
          </w:tcPr>
          <w:p w14:paraId="03C53B7D">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服务内容名称</w:t>
            </w:r>
          </w:p>
        </w:tc>
        <w:tc>
          <w:tcPr>
            <w:tcW w:w="3870" w:type="dxa"/>
            <w:noWrap w:val="0"/>
            <w:vAlign w:val="center"/>
          </w:tcPr>
          <w:p w14:paraId="7C4C2D1B">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服务内容</w:t>
            </w:r>
          </w:p>
        </w:tc>
        <w:tc>
          <w:tcPr>
            <w:tcW w:w="1380" w:type="dxa"/>
            <w:noWrap w:val="0"/>
            <w:vAlign w:val="center"/>
          </w:tcPr>
          <w:p w14:paraId="023DC84F">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报价（万元）</w:t>
            </w:r>
          </w:p>
        </w:tc>
        <w:tc>
          <w:tcPr>
            <w:tcW w:w="1041" w:type="dxa"/>
            <w:noWrap w:val="0"/>
            <w:vAlign w:val="center"/>
          </w:tcPr>
          <w:p w14:paraId="019621E5">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712B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04" w:type="dxa"/>
            <w:noWrap w:val="0"/>
            <w:vAlign w:val="center"/>
          </w:tcPr>
          <w:p w14:paraId="655C441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499" w:type="dxa"/>
            <w:noWrap w:val="0"/>
            <w:vAlign w:val="center"/>
          </w:tcPr>
          <w:p w14:paraId="77F7470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吃住会资</w:t>
            </w:r>
          </w:p>
        </w:tc>
        <w:tc>
          <w:tcPr>
            <w:tcW w:w="3870" w:type="dxa"/>
            <w:noWrap w:val="0"/>
            <w:vAlign w:val="center"/>
          </w:tcPr>
          <w:p w14:paraId="61DF17E2">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参训人员（53人）及工作人员（5人）培训期间，产生的住宿、餐饮、会议室租赁费、培训资料费、交通费</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tc>
        <w:tc>
          <w:tcPr>
            <w:tcW w:w="1380" w:type="dxa"/>
            <w:noWrap w:val="0"/>
            <w:vAlign w:val="center"/>
          </w:tcPr>
          <w:p w14:paraId="689C773B">
            <w:pPr>
              <w:jc w:val="center"/>
              <w:rPr>
                <w:rFonts w:hint="eastAsia" w:ascii="宋体" w:hAnsi="宋体" w:eastAsia="宋体" w:cs="宋体"/>
                <w:color w:val="auto"/>
                <w:sz w:val="21"/>
                <w:szCs w:val="21"/>
                <w:highlight w:val="none"/>
              </w:rPr>
            </w:pPr>
          </w:p>
        </w:tc>
        <w:tc>
          <w:tcPr>
            <w:tcW w:w="1041" w:type="dxa"/>
            <w:noWrap w:val="0"/>
            <w:vAlign w:val="center"/>
          </w:tcPr>
          <w:p w14:paraId="27B57DF8">
            <w:pPr>
              <w:jc w:val="center"/>
              <w:rPr>
                <w:rFonts w:hint="eastAsia" w:ascii="宋体" w:hAnsi="宋体" w:eastAsia="宋体" w:cs="宋体"/>
                <w:color w:val="auto"/>
                <w:sz w:val="21"/>
                <w:szCs w:val="21"/>
                <w:highlight w:val="none"/>
              </w:rPr>
            </w:pPr>
          </w:p>
        </w:tc>
      </w:tr>
      <w:tr w14:paraId="360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804" w:type="dxa"/>
            <w:noWrap w:val="0"/>
            <w:vAlign w:val="center"/>
          </w:tcPr>
          <w:p w14:paraId="5A7B80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499" w:type="dxa"/>
            <w:noWrap w:val="0"/>
            <w:vAlign w:val="center"/>
          </w:tcPr>
          <w:p w14:paraId="3956CA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师资费（含食宿、交通）</w:t>
            </w:r>
          </w:p>
        </w:tc>
        <w:tc>
          <w:tcPr>
            <w:tcW w:w="3870" w:type="dxa"/>
            <w:noWrap w:val="0"/>
            <w:vAlign w:val="center"/>
          </w:tcPr>
          <w:p w14:paraId="4D19C331">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指聘请师资授课发生的费用，包括授课老师讲课费、食宿及交通费等。</w:t>
            </w:r>
          </w:p>
        </w:tc>
        <w:tc>
          <w:tcPr>
            <w:tcW w:w="1380" w:type="dxa"/>
            <w:noWrap w:val="0"/>
            <w:vAlign w:val="center"/>
          </w:tcPr>
          <w:p w14:paraId="7F8177CB">
            <w:pPr>
              <w:jc w:val="center"/>
              <w:rPr>
                <w:rFonts w:hint="eastAsia" w:ascii="宋体" w:hAnsi="宋体" w:eastAsia="宋体" w:cs="宋体"/>
                <w:color w:val="auto"/>
                <w:sz w:val="21"/>
                <w:szCs w:val="21"/>
                <w:highlight w:val="none"/>
              </w:rPr>
            </w:pPr>
          </w:p>
        </w:tc>
        <w:tc>
          <w:tcPr>
            <w:tcW w:w="1041" w:type="dxa"/>
            <w:noWrap w:val="0"/>
            <w:vAlign w:val="center"/>
          </w:tcPr>
          <w:p w14:paraId="1EFDBF1F">
            <w:pPr>
              <w:jc w:val="center"/>
              <w:rPr>
                <w:rFonts w:hint="eastAsia" w:ascii="宋体" w:hAnsi="宋体" w:eastAsia="宋体" w:cs="宋体"/>
                <w:color w:val="auto"/>
                <w:sz w:val="21"/>
                <w:szCs w:val="21"/>
                <w:highlight w:val="none"/>
              </w:rPr>
            </w:pPr>
          </w:p>
        </w:tc>
      </w:tr>
      <w:tr w14:paraId="4BC4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jc w:val="center"/>
        </w:trPr>
        <w:tc>
          <w:tcPr>
            <w:tcW w:w="804" w:type="dxa"/>
            <w:noWrap w:val="0"/>
            <w:vAlign w:val="center"/>
          </w:tcPr>
          <w:p w14:paraId="2317F7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99" w:type="dxa"/>
            <w:noWrap w:val="0"/>
            <w:vAlign w:val="center"/>
          </w:tcPr>
          <w:p w14:paraId="38D4B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素质拓展费用</w:t>
            </w:r>
          </w:p>
        </w:tc>
        <w:tc>
          <w:tcPr>
            <w:tcW w:w="3870" w:type="dxa"/>
            <w:noWrap w:val="0"/>
            <w:vAlign w:val="center"/>
          </w:tcPr>
          <w:p w14:paraId="4E310DF4">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用于素质拓展组织筹备相关费用，包括场地费、素拓教练人员费用、物资费、保险费以及其他杂费。</w:t>
            </w:r>
          </w:p>
        </w:tc>
        <w:tc>
          <w:tcPr>
            <w:tcW w:w="1380" w:type="dxa"/>
            <w:noWrap w:val="0"/>
            <w:vAlign w:val="center"/>
          </w:tcPr>
          <w:p w14:paraId="3C7C9649">
            <w:pPr>
              <w:jc w:val="center"/>
              <w:rPr>
                <w:rFonts w:hint="eastAsia" w:ascii="宋体" w:hAnsi="宋体" w:eastAsia="宋体" w:cs="宋体"/>
                <w:color w:val="auto"/>
                <w:sz w:val="21"/>
                <w:szCs w:val="21"/>
                <w:highlight w:val="none"/>
              </w:rPr>
            </w:pPr>
          </w:p>
        </w:tc>
        <w:tc>
          <w:tcPr>
            <w:tcW w:w="1041" w:type="dxa"/>
            <w:noWrap w:val="0"/>
            <w:vAlign w:val="center"/>
          </w:tcPr>
          <w:p w14:paraId="5A44C3F0">
            <w:pPr>
              <w:jc w:val="center"/>
              <w:rPr>
                <w:rFonts w:hint="eastAsia" w:ascii="宋体" w:hAnsi="宋体" w:eastAsia="宋体" w:cs="宋体"/>
                <w:color w:val="auto"/>
                <w:sz w:val="21"/>
                <w:szCs w:val="21"/>
                <w:highlight w:val="none"/>
              </w:rPr>
            </w:pPr>
          </w:p>
        </w:tc>
      </w:tr>
      <w:tr w14:paraId="788B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804" w:type="dxa"/>
            <w:noWrap w:val="0"/>
            <w:vAlign w:val="center"/>
          </w:tcPr>
          <w:p w14:paraId="2EEB1BF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99" w:type="dxa"/>
            <w:noWrap w:val="0"/>
            <w:vAlign w:val="center"/>
          </w:tcPr>
          <w:p w14:paraId="0A047C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宣传费</w:t>
            </w:r>
          </w:p>
        </w:tc>
        <w:tc>
          <w:tcPr>
            <w:tcW w:w="3870" w:type="dxa"/>
            <w:noWrap w:val="0"/>
            <w:vAlign w:val="center"/>
          </w:tcPr>
          <w:p w14:paraId="0C969C11">
            <w:pPr>
              <w:ind w:firstLine="420" w:firstLineChars="200"/>
              <w:jc w:val="left"/>
              <w:rPr>
                <w:rFonts w:hint="default"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eastAsia="zh-CN"/>
              </w:rPr>
              <w:t>现场录制，含高清摄像机</w:t>
            </w:r>
            <w:r>
              <w:rPr>
                <w:rFonts w:hint="default" w:ascii="宋体" w:hAnsi="宋体" w:eastAsia="宋体" w:cs="宋体"/>
                <w:color w:val="auto"/>
                <w:sz w:val="21"/>
                <w:szCs w:val="21"/>
                <w:highlight w:val="none"/>
                <w:lang w:eastAsia="zh-CN"/>
              </w:rPr>
              <w:t>2</w:t>
            </w:r>
            <w:r>
              <w:rPr>
                <w:rFonts w:hint="default" w:ascii="宋体" w:hAnsi="宋体" w:eastAsia="宋体" w:cs="宋体"/>
                <w:color w:val="auto"/>
                <w:sz w:val="21"/>
                <w:szCs w:val="21"/>
                <w:highlight w:val="none"/>
                <w:lang w:val="zh-CN" w:eastAsia="zh-CN"/>
              </w:rPr>
              <w:t>台、摄像师</w:t>
            </w:r>
            <w:r>
              <w:rPr>
                <w:rFonts w:hint="default" w:ascii="宋体" w:hAnsi="宋体" w:eastAsia="宋体" w:cs="宋体"/>
                <w:color w:val="auto"/>
                <w:sz w:val="21"/>
                <w:szCs w:val="21"/>
                <w:highlight w:val="none"/>
                <w:lang w:eastAsia="zh-CN"/>
              </w:rPr>
              <w:t>2</w:t>
            </w:r>
            <w:r>
              <w:rPr>
                <w:rFonts w:hint="default" w:ascii="宋体" w:hAnsi="宋体" w:eastAsia="宋体" w:cs="宋体"/>
                <w:color w:val="auto"/>
                <w:sz w:val="21"/>
                <w:szCs w:val="21"/>
                <w:highlight w:val="none"/>
                <w:lang w:val="zh-CN" w:eastAsia="zh-CN"/>
              </w:rPr>
              <w:t>人、制片等费用</w:t>
            </w:r>
            <w:r>
              <w:rPr>
                <w:rFonts w:hint="eastAsia" w:ascii="宋体" w:hAnsi="宋体" w:eastAsia="宋体" w:cs="宋体"/>
                <w:color w:val="auto"/>
                <w:sz w:val="21"/>
                <w:szCs w:val="21"/>
                <w:highlight w:val="none"/>
                <w:lang w:val="zh-CN" w:eastAsia="zh-CN"/>
              </w:rPr>
              <w:t>。</w:t>
            </w:r>
          </w:p>
          <w:p w14:paraId="135DBBE9">
            <w:pPr>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zh-CN" w:eastAsia="zh-CN"/>
              </w:rPr>
              <w:t>总结视频1部，大于3分钟</w:t>
            </w:r>
            <w:r>
              <w:rPr>
                <w:rFonts w:hint="eastAsia" w:ascii="宋体" w:hAnsi="宋体" w:eastAsia="宋体" w:cs="宋体"/>
                <w:color w:val="auto"/>
                <w:sz w:val="21"/>
                <w:szCs w:val="21"/>
                <w:highlight w:val="none"/>
                <w:lang w:val="zh-CN" w:eastAsia="zh-CN"/>
              </w:rPr>
              <w:t>。</w:t>
            </w:r>
          </w:p>
        </w:tc>
        <w:tc>
          <w:tcPr>
            <w:tcW w:w="1380" w:type="dxa"/>
            <w:noWrap w:val="0"/>
            <w:vAlign w:val="center"/>
          </w:tcPr>
          <w:p w14:paraId="61AC6B28">
            <w:pPr>
              <w:jc w:val="center"/>
              <w:rPr>
                <w:rFonts w:hint="eastAsia" w:ascii="宋体" w:hAnsi="宋体" w:eastAsia="宋体" w:cs="宋体"/>
                <w:color w:val="auto"/>
                <w:sz w:val="21"/>
                <w:szCs w:val="21"/>
                <w:highlight w:val="none"/>
              </w:rPr>
            </w:pPr>
          </w:p>
        </w:tc>
        <w:tc>
          <w:tcPr>
            <w:tcW w:w="1041" w:type="dxa"/>
            <w:noWrap w:val="0"/>
            <w:vAlign w:val="center"/>
          </w:tcPr>
          <w:p w14:paraId="543C3BF0">
            <w:pPr>
              <w:jc w:val="center"/>
              <w:rPr>
                <w:rFonts w:hint="eastAsia" w:ascii="宋体" w:hAnsi="宋体" w:eastAsia="宋体" w:cs="宋体"/>
                <w:color w:val="auto"/>
                <w:sz w:val="21"/>
                <w:szCs w:val="21"/>
                <w:highlight w:val="none"/>
              </w:rPr>
            </w:pPr>
          </w:p>
        </w:tc>
      </w:tr>
      <w:tr w14:paraId="100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804" w:type="dxa"/>
            <w:noWrap w:val="0"/>
            <w:vAlign w:val="center"/>
          </w:tcPr>
          <w:p w14:paraId="6D60651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99" w:type="dxa"/>
            <w:noWrap w:val="0"/>
            <w:vAlign w:val="center"/>
          </w:tcPr>
          <w:p w14:paraId="3A56DB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医疗费</w:t>
            </w:r>
          </w:p>
        </w:tc>
        <w:tc>
          <w:tcPr>
            <w:tcW w:w="3870" w:type="dxa"/>
            <w:noWrap w:val="0"/>
            <w:vAlign w:val="center"/>
          </w:tcPr>
          <w:p w14:paraId="0DDCDDE0">
            <w:pPr>
              <w:ind w:firstLine="420" w:firstLineChars="200"/>
              <w:jc w:val="left"/>
              <w:rPr>
                <w:rFonts w:hint="default"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zh-CN" w:eastAsia="zh-CN"/>
              </w:rPr>
              <w:t>急救包及相关药品包</w:t>
            </w:r>
            <w:r>
              <w:rPr>
                <w:rFonts w:hint="eastAsia" w:ascii="宋体" w:hAnsi="宋体" w:cs="宋体"/>
                <w:color w:val="auto"/>
                <w:sz w:val="21"/>
                <w:szCs w:val="21"/>
                <w:highlight w:val="none"/>
                <w:lang w:val="zh-CN" w:eastAsia="zh-CN"/>
              </w:rPr>
              <w:t>；</w:t>
            </w:r>
          </w:p>
          <w:p w14:paraId="072F9D6E">
            <w:pPr>
              <w:ind w:firstLine="420" w:firstLineChars="200"/>
              <w:jc w:val="left"/>
              <w:rPr>
                <w:rFonts w:hint="default"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zh-CN" w:eastAsia="zh-CN"/>
              </w:rPr>
              <w:t>医护人员服务费</w:t>
            </w:r>
            <w:r>
              <w:rPr>
                <w:rFonts w:hint="eastAsia" w:ascii="宋体" w:hAnsi="宋体" w:cs="宋体"/>
                <w:color w:val="auto"/>
                <w:sz w:val="21"/>
                <w:szCs w:val="21"/>
                <w:highlight w:val="none"/>
                <w:lang w:val="zh-CN" w:eastAsia="zh-CN"/>
              </w:rPr>
              <w:t>；</w:t>
            </w:r>
          </w:p>
          <w:p w14:paraId="717501E4">
            <w:pPr>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eastAsia="zh-CN"/>
              </w:rPr>
              <w:t>AED租赁费</w:t>
            </w:r>
            <w:r>
              <w:rPr>
                <w:rFonts w:hint="eastAsia" w:ascii="宋体" w:hAnsi="宋体" w:cs="宋体"/>
                <w:color w:val="auto"/>
                <w:sz w:val="21"/>
                <w:szCs w:val="21"/>
                <w:highlight w:val="none"/>
                <w:lang w:eastAsia="zh-CN"/>
              </w:rPr>
              <w:t>；</w:t>
            </w:r>
          </w:p>
        </w:tc>
        <w:tc>
          <w:tcPr>
            <w:tcW w:w="1380" w:type="dxa"/>
            <w:noWrap w:val="0"/>
            <w:vAlign w:val="center"/>
          </w:tcPr>
          <w:p w14:paraId="5F5AA3AD">
            <w:pPr>
              <w:jc w:val="center"/>
              <w:rPr>
                <w:rFonts w:hint="eastAsia" w:ascii="宋体" w:hAnsi="宋体" w:eastAsia="宋体" w:cs="宋体"/>
                <w:color w:val="auto"/>
                <w:sz w:val="21"/>
                <w:szCs w:val="21"/>
                <w:highlight w:val="none"/>
              </w:rPr>
            </w:pPr>
          </w:p>
        </w:tc>
        <w:tc>
          <w:tcPr>
            <w:tcW w:w="1041" w:type="dxa"/>
            <w:noWrap w:val="0"/>
            <w:vAlign w:val="center"/>
          </w:tcPr>
          <w:p w14:paraId="58A04CDF">
            <w:pPr>
              <w:jc w:val="center"/>
              <w:rPr>
                <w:rFonts w:hint="eastAsia" w:ascii="宋体" w:hAnsi="宋体" w:eastAsia="宋体" w:cs="宋体"/>
                <w:color w:val="auto"/>
                <w:sz w:val="21"/>
                <w:szCs w:val="21"/>
                <w:highlight w:val="none"/>
              </w:rPr>
            </w:pPr>
          </w:p>
        </w:tc>
      </w:tr>
      <w:tr w14:paraId="3B00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exact"/>
          <w:jc w:val="center"/>
        </w:trPr>
        <w:tc>
          <w:tcPr>
            <w:tcW w:w="804" w:type="dxa"/>
            <w:noWrap w:val="0"/>
            <w:vAlign w:val="center"/>
          </w:tcPr>
          <w:p w14:paraId="493326A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99" w:type="dxa"/>
            <w:noWrap w:val="0"/>
            <w:vAlign w:val="center"/>
          </w:tcPr>
          <w:p w14:paraId="4BC9D2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3870" w:type="dxa"/>
            <w:noWrap w:val="0"/>
            <w:vAlign w:val="center"/>
          </w:tcPr>
          <w:p w14:paraId="2EE1B6FE">
            <w:pPr>
              <w:ind w:firstLine="420" w:firstLineChars="200"/>
              <w:jc w:val="left"/>
              <w:rPr>
                <w:rFonts w:hint="default"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eastAsia="zh-CN"/>
              </w:rPr>
              <w:t>指用于现场教学费、设备租赁费等与培训有关的其他支出以及不可预见的应急处置费用</w:t>
            </w:r>
            <w:r>
              <w:rPr>
                <w:rFonts w:hint="eastAsia" w:ascii="宋体" w:hAnsi="宋体" w:eastAsia="宋体" w:cs="宋体"/>
                <w:color w:val="auto"/>
                <w:sz w:val="21"/>
                <w:szCs w:val="21"/>
                <w:highlight w:val="none"/>
                <w:lang w:val="zh-CN" w:eastAsia="zh-CN"/>
              </w:rPr>
              <w:t>；</w:t>
            </w:r>
          </w:p>
          <w:p w14:paraId="14E05BD8">
            <w:pPr>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zh-CN" w:eastAsia="zh-CN"/>
              </w:rPr>
              <w:t>讲解人员费用</w:t>
            </w:r>
            <w:r>
              <w:rPr>
                <w:rFonts w:hint="eastAsia" w:ascii="宋体" w:hAnsi="宋体" w:eastAsia="宋体" w:cs="宋体"/>
                <w:color w:val="auto"/>
                <w:sz w:val="21"/>
                <w:szCs w:val="21"/>
                <w:highlight w:val="none"/>
                <w:lang w:val="zh-CN" w:eastAsia="zh-CN"/>
              </w:rPr>
              <w:t>；</w:t>
            </w:r>
          </w:p>
          <w:p w14:paraId="64806A90">
            <w:pPr>
              <w:ind w:firstLine="420" w:firstLineChars="200"/>
              <w:jc w:val="left"/>
              <w:rPr>
                <w:rFonts w:hint="default"/>
                <w:color w:val="auto"/>
                <w:highlight w:val="none"/>
                <w:lang w:val="en-US"/>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eastAsia="zh-CN"/>
              </w:rPr>
              <w:t>雨伞、一次性雨衣、打印机租用、打印纸、矿泉水等物资费</w:t>
            </w:r>
            <w:r>
              <w:rPr>
                <w:rFonts w:hint="eastAsia" w:ascii="宋体" w:hAnsi="宋体" w:cs="宋体"/>
                <w:color w:val="auto"/>
                <w:sz w:val="21"/>
                <w:szCs w:val="21"/>
                <w:highlight w:val="none"/>
                <w:lang w:val="zh-CN" w:eastAsia="zh-CN"/>
              </w:rPr>
              <w:t>。</w:t>
            </w:r>
          </w:p>
        </w:tc>
        <w:tc>
          <w:tcPr>
            <w:tcW w:w="1380" w:type="dxa"/>
            <w:noWrap w:val="0"/>
            <w:vAlign w:val="center"/>
          </w:tcPr>
          <w:p w14:paraId="46F72E91">
            <w:pPr>
              <w:jc w:val="center"/>
              <w:rPr>
                <w:rFonts w:hint="eastAsia" w:ascii="宋体" w:hAnsi="宋体" w:eastAsia="宋体" w:cs="宋体"/>
                <w:color w:val="auto"/>
                <w:sz w:val="21"/>
                <w:szCs w:val="21"/>
                <w:highlight w:val="none"/>
              </w:rPr>
            </w:pPr>
          </w:p>
        </w:tc>
        <w:tc>
          <w:tcPr>
            <w:tcW w:w="1041" w:type="dxa"/>
            <w:noWrap w:val="0"/>
            <w:vAlign w:val="center"/>
          </w:tcPr>
          <w:p w14:paraId="53AFC6EC">
            <w:pPr>
              <w:jc w:val="center"/>
              <w:rPr>
                <w:rFonts w:hint="eastAsia" w:ascii="宋体" w:hAnsi="宋体" w:eastAsia="宋体" w:cs="宋体"/>
                <w:color w:val="auto"/>
                <w:sz w:val="21"/>
                <w:szCs w:val="21"/>
                <w:highlight w:val="none"/>
              </w:rPr>
            </w:pPr>
          </w:p>
        </w:tc>
      </w:tr>
      <w:tr w14:paraId="430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804" w:type="dxa"/>
            <w:noWrap w:val="0"/>
            <w:vAlign w:val="center"/>
          </w:tcPr>
          <w:p w14:paraId="1BD39D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499" w:type="dxa"/>
            <w:noWrap w:val="0"/>
            <w:vAlign w:val="center"/>
          </w:tcPr>
          <w:p w14:paraId="5496EF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预算评审费</w:t>
            </w:r>
          </w:p>
        </w:tc>
        <w:tc>
          <w:tcPr>
            <w:tcW w:w="3870" w:type="dxa"/>
            <w:noWrap w:val="0"/>
            <w:vAlign w:val="center"/>
          </w:tcPr>
          <w:p w14:paraId="38066D31">
            <w:pPr>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该费用为暂定金额不得浮动，否则按否决响应文件处理。</w:t>
            </w:r>
          </w:p>
        </w:tc>
        <w:tc>
          <w:tcPr>
            <w:tcW w:w="1380" w:type="dxa"/>
            <w:noWrap w:val="0"/>
            <w:vAlign w:val="center"/>
          </w:tcPr>
          <w:p w14:paraId="00176CEF">
            <w:pPr>
              <w:jc w:val="center"/>
              <w:rPr>
                <w:rFonts w:hint="eastAsia" w:ascii="宋体" w:hAnsi="宋体" w:eastAsia="宋体" w:cs="宋体"/>
                <w:color w:val="auto"/>
                <w:sz w:val="21"/>
                <w:szCs w:val="21"/>
                <w:highlight w:val="none"/>
              </w:rPr>
            </w:pPr>
          </w:p>
        </w:tc>
        <w:tc>
          <w:tcPr>
            <w:tcW w:w="1041" w:type="dxa"/>
            <w:noWrap w:val="0"/>
            <w:vAlign w:val="center"/>
          </w:tcPr>
          <w:p w14:paraId="394D41EC">
            <w:pPr>
              <w:jc w:val="center"/>
              <w:rPr>
                <w:rFonts w:hint="eastAsia" w:ascii="宋体" w:hAnsi="宋体" w:eastAsia="宋体" w:cs="宋体"/>
                <w:color w:val="auto"/>
                <w:sz w:val="21"/>
                <w:szCs w:val="21"/>
                <w:highlight w:val="none"/>
              </w:rPr>
            </w:pPr>
          </w:p>
        </w:tc>
      </w:tr>
      <w:tr w14:paraId="07B4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3303" w:type="dxa"/>
            <w:gridSpan w:val="2"/>
            <w:noWrap w:val="0"/>
            <w:vAlign w:val="center"/>
          </w:tcPr>
          <w:p w14:paraId="78567B36">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合计（万元）</w:t>
            </w:r>
          </w:p>
        </w:tc>
        <w:tc>
          <w:tcPr>
            <w:tcW w:w="6291" w:type="dxa"/>
            <w:gridSpan w:val="3"/>
            <w:noWrap w:val="0"/>
            <w:vAlign w:val="center"/>
          </w:tcPr>
          <w:p w14:paraId="6D605A76">
            <w:pPr>
              <w:jc w:val="center"/>
              <w:rPr>
                <w:rFonts w:hint="eastAsia" w:ascii="宋体" w:hAnsi="宋体" w:eastAsia="宋体" w:cs="宋体"/>
                <w:color w:val="auto"/>
                <w:sz w:val="21"/>
                <w:szCs w:val="21"/>
                <w:highlight w:val="none"/>
              </w:rPr>
            </w:pPr>
          </w:p>
        </w:tc>
      </w:tr>
    </w:tbl>
    <w:p w14:paraId="0CC6CF9A">
      <w:pPr>
        <w:snapToGrid w:val="0"/>
        <w:spacing w:line="500" w:lineRule="exac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注：</w:t>
      </w:r>
      <w:r>
        <w:rPr>
          <w:rFonts w:hint="eastAsia" w:ascii="宋体" w:hAnsi="宋体" w:cs="宋体"/>
          <w:color w:val="auto"/>
          <w:sz w:val="24"/>
          <w:szCs w:val="28"/>
          <w:highlight w:val="none"/>
          <w:lang w:val="en-US" w:eastAsia="zh-CN"/>
        </w:rPr>
        <w:t>各分项报价不得超过分项最高限价，否则按否决响应文件处理。</w:t>
      </w:r>
    </w:p>
    <w:p w14:paraId="776762ED">
      <w:pPr>
        <w:pStyle w:val="39"/>
        <w:spacing w:line="360" w:lineRule="auto"/>
        <w:rPr>
          <w:rFonts w:hint="eastAsia" w:ascii="宋体" w:hAnsi="宋体" w:eastAsia="宋体" w:cs="宋体"/>
          <w:color w:val="auto"/>
          <w:sz w:val="24"/>
          <w:szCs w:val="24"/>
          <w:highlight w:val="none"/>
        </w:rPr>
      </w:pPr>
    </w:p>
    <w:p w14:paraId="66A608DC">
      <w:pPr>
        <w:pStyle w:val="3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1873D6">
      <w:pPr>
        <w:rPr>
          <w:rFonts w:hint="eastAsia" w:ascii="宋体" w:hAnsi="宋体" w:eastAsia="宋体" w:cs="宋体"/>
          <w:color w:val="auto"/>
          <w:highlight w:val="none"/>
        </w:rPr>
      </w:pPr>
    </w:p>
    <w:p w14:paraId="66FE84B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w:t>
      </w:r>
    </w:p>
    <w:p w14:paraId="6622A6B9">
      <w:pPr>
        <w:jc w:val="right"/>
        <w:outlineLvl w:val="9"/>
        <w:rPr>
          <w:rFonts w:hint="eastAsia"/>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eastAsia="宋体" w:cs="宋体"/>
          <w:b w:val="0"/>
          <w:bCs/>
          <w:color w:val="auto"/>
          <w:sz w:val="24"/>
          <w:szCs w:val="24"/>
          <w:highlight w:val="none"/>
        </w:rPr>
        <w:t>年     月    日</w:t>
      </w:r>
    </w:p>
    <w:p w14:paraId="48A6F6E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289E5323">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最后报价表</w:t>
      </w:r>
    </w:p>
    <w:p w14:paraId="436C0A5D">
      <w:pPr>
        <w:pStyle w:val="70"/>
        <w:rPr>
          <w:rFonts w:hAnsi="宋体"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6224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4406B4C1">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7D0FD645">
            <w:pPr>
              <w:spacing w:line="500" w:lineRule="exact"/>
              <w:jc w:val="center"/>
              <w:rPr>
                <w:rFonts w:ascii="宋体" w:hAnsi="宋体" w:cs="宋体"/>
                <w:color w:val="auto"/>
                <w:sz w:val="24"/>
                <w:szCs w:val="24"/>
                <w:highlight w:val="none"/>
              </w:rPr>
            </w:pPr>
          </w:p>
        </w:tc>
      </w:tr>
      <w:tr w14:paraId="27A8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31CA0007">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438C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3297DC6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37A7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12CDA2D1">
            <w:pPr>
              <w:pStyle w:val="34"/>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52748961">
      <w:pPr>
        <w:pStyle w:val="355"/>
        <w:rPr>
          <w:rFonts w:ascii="宋体" w:hAnsi="宋体" w:cs="宋体"/>
          <w:color w:val="auto"/>
          <w:sz w:val="24"/>
          <w:szCs w:val="24"/>
          <w:highlight w:val="none"/>
        </w:rPr>
      </w:pPr>
    </w:p>
    <w:p w14:paraId="48B61197">
      <w:pPr>
        <w:pStyle w:val="355"/>
        <w:rPr>
          <w:rFonts w:ascii="宋体" w:hAnsi="宋体" w:cs="宋体"/>
          <w:color w:val="auto"/>
          <w:sz w:val="24"/>
          <w:szCs w:val="24"/>
          <w:highlight w:val="none"/>
        </w:rPr>
      </w:pPr>
    </w:p>
    <w:p w14:paraId="5576532D">
      <w:pPr>
        <w:snapToGrid w:val="0"/>
        <w:spacing w:line="500" w:lineRule="exact"/>
        <w:ind w:firstLine="570"/>
        <w:jc w:val="center"/>
        <w:rPr>
          <w:rFonts w:ascii="宋体" w:hAnsi="宋体" w:cs="宋体"/>
          <w:b/>
          <w:bCs/>
          <w:color w:val="auto"/>
          <w:sz w:val="24"/>
          <w:szCs w:val="24"/>
          <w:highlight w:val="none"/>
        </w:rPr>
      </w:pPr>
    </w:p>
    <w:p w14:paraId="289EC068">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法人授权代表：</w:t>
      </w:r>
    </w:p>
    <w:p w14:paraId="0AECB307">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5E133C6D">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AFFFC3F">
      <w:pPr>
        <w:snapToGrid w:val="0"/>
        <w:spacing w:line="500" w:lineRule="exact"/>
        <w:ind w:firstLine="480" w:firstLineChars="200"/>
        <w:rPr>
          <w:rFonts w:ascii="宋体" w:hAnsi="宋体" w:cs="宋体"/>
          <w:color w:val="auto"/>
          <w:sz w:val="24"/>
          <w:szCs w:val="24"/>
          <w:highlight w:val="none"/>
        </w:rPr>
      </w:pPr>
    </w:p>
    <w:p w14:paraId="60DD1669">
      <w:pPr>
        <w:snapToGrid w:val="0"/>
        <w:spacing w:line="500" w:lineRule="exact"/>
        <w:ind w:firstLine="480" w:firstLineChars="200"/>
        <w:rPr>
          <w:rFonts w:ascii="宋体" w:hAnsi="宋体" w:cs="宋体"/>
          <w:color w:val="auto"/>
          <w:sz w:val="24"/>
          <w:szCs w:val="24"/>
          <w:highlight w:val="none"/>
        </w:rPr>
      </w:pPr>
    </w:p>
    <w:p w14:paraId="7C944FD7">
      <w:pPr>
        <w:spacing w:before="0" w:after="0" w:line="360" w:lineRule="auto"/>
        <w:ind w:firstLine="480" w:firstLineChars="200"/>
        <w:outlineLvl w:val="9"/>
        <w:rPr>
          <w:rFonts w:ascii="宋体" w:hAnsi="宋体" w:cs="宋体"/>
          <w:b w:val="0"/>
          <w:bCs/>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bookmarkStart w:id="233" w:name="_Toc3509"/>
      <w:bookmarkStart w:id="234" w:name="_Toc15778"/>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误。如在规定时间内不填写上交最后报价表，以第一次报价为准。最后报价不得高于第一次报价，否则按不响应竞争性磋商文件处理。</w:t>
      </w:r>
      <w:bookmarkEnd w:id="233"/>
      <w:bookmarkEnd w:id="234"/>
    </w:p>
    <w:bookmarkEnd w:id="228"/>
    <w:bookmarkEnd w:id="229"/>
    <w:bookmarkEnd w:id="230"/>
    <w:bookmarkEnd w:id="231"/>
    <w:p w14:paraId="62096372">
      <w:pPr>
        <w:spacing w:before="0" w:after="0" w:line="360" w:lineRule="auto"/>
        <w:ind w:firstLine="482" w:firstLineChars="200"/>
        <w:outlineLvl w:val="9"/>
        <w:rPr>
          <w:rFonts w:ascii="宋体" w:hAnsi="宋体" w:cs="宋体"/>
          <w:b/>
          <w:bCs/>
          <w:color w:val="auto"/>
          <w:sz w:val="24"/>
          <w:szCs w:val="24"/>
          <w:highlight w:val="none"/>
        </w:rPr>
      </w:pPr>
      <w:bookmarkStart w:id="235" w:name="_Toc2214"/>
      <w:bookmarkStart w:id="236" w:name="_Toc11266"/>
      <w:bookmarkStart w:id="237" w:name="_Toc21255"/>
      <w:r>
        <w:rPr>
          <w:rFonts w:hint="eastAsia" w:ascii="宋体" w:hAnsi="宋体" w:cs="宋体"/>
          <w:b/>
          <w:bCs/>
          <w:color w:val="auto"/>
          <w:sz w:val="24"/>
          <w:szCs w:val="24"/>
          <w:highlight w:val="none"/>
        </w:rPr>
        <w:t>二、技术部分</w:t>
      </w:r>
      <w:bookmarkEnd w:id="235"/>
      <w:bookmarkEnd w:id="236"/>
      <w:bookmarkEnd w:id="237"/>
    </w:p>
    <w:p w14:paraId="421EA257">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（一）技术响应偏离表</w:t>
      </w:r>
    </w:p>
    <w:p w14:paraId="67574ABC">
      <w:pPr>
        <w:pStyle w:val="34"/>
        <w:tabs>
          <w:tab w:val="left" w:pos="6300"/>
        </w:tabs>
        <w:snapToGrid w:val="0"/>
        <w:spacing w:line="500" w:lineRule="exact"/>
        <w:ind w:firstLine="480" w:firstLineChars="200"/>
        <w:outlineLvl w:val="9"/>
        <w:rPr>
          <w:rFonts w:ascii="宋体" w:hAnsi="宋体" w:cs="宋体"/>
          <w:color w:val="auto"/>
          <w:sz w:val="24"/>
          <w:highlight w:val="none"/>
        </w:rPr>
      </w:pPr>
      <w:bookmarkStart w:id="238" w:name="_Toc25717"/>
      <w:r>
        <w:rPr>
          <w:rFonts w:hint="eastAsia" w:ascii="宋体" w:hAnsi="宋体" w:cs="宋体"/>
          <w:color w:val="auto"/>
          <w:sz w:val="24"/>
          <w:highlight w:val="none"/>
        </w:rPr>
        <w:t>项目号：</w:t>
      </w:r>
      <w:bookmarkEnd w:id="238"/>
    </w:p>
    <w:p w14:paraId="51E15F7F">
      <w:pPr>
        <w:pStyle w:val="34"/>
        <w:tabs>
          <w:tab w:val="left" w:pos="6300"/>
        </w:tabs>
        <w:snapToGrid w:val="0"/>
        <w:spacing w:line="500" w:lineRule="exact"/>
        <w:ind w:firstLine="480" w:firstLineChars="200"/>
        <w:outlineLvl w:val="9"/>
        <w:rPr>
          <w:rFonts w:ascii="宋体" w:hAnsi="宋体" w:cs="宋体"/>
          <w:color w:val="auto"/>
          <w:sz w:val="24"/>
          <w:highlight w:val="none"/>
        </w:rPr>
      </w:pPr>
      <w:bookmarkStart w:id="239" w:name="_Toc2935"/>
      <w:r>
        <w:rPr>
          <w:rFonts w:hint="eastAsia" w:ascii="宋体" w:hAnsi="宋体" w:cs="宋体"/>
          <w:color w:val="auto"/>
          <w:sz w:val="24"/>
          <w:highlight w:val="none"/>
        </w:rPr>
        <w:t>磋商项目名称：</w:t>
      </w:r>
      <w:bookmarkEnd w:id="23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55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C8E185D">
            <w:pPr>
              <w:tabs>
                <w:tab w:val="left" w:pos="6300"/>
              </w:tabs>
              <w:snapToGrid w:val="0"/>
              <w:spacing w:line="500" w:lineRule="exact"/>
              <w:jc w:val="center"/>
              <w:outlineLvl w:val="0"/>
              <w:rPr>
                <w:rFonts w:ascii="宋体" w:hAnsi="宋体" w:cs="宋体"/>
                <w:color w:val="auto"/>
                <w:sz w:val="21"/>
                <w:szCs w:val="21"/>
                <w:highlight w:val="none"/>
              </w:rPr>
            </w:pPr>
            <w:bookmarkStart w:id="240" w:name="_Toc32082"/>
            <w:r>
              <w:rPr>
                <w:rFonts w:hint="eastAsia" w:ascii="宋体" w:hAnsi="宋体" w:cs="宋体"/>
                <w:color w:val="auto"/>
                <w:sz w:val="21"/>
                <w:szCs w:val="21"/>
                <w:highlight w:val="none"/>
              </w:rPr>
              <w:t>序号</w:t>
            </w:r>
            <w:bookmarkEnd w:id="240"/>
          </w:p>
        </w:tc>
        <w:tc>
          <w:tcPr>
            <w:tcW w:w="2658" w:type="dxa"/>
            <w:vAlign w:val="center"/>
          </w:tcPr>
          <w:p w14:paraId="3F8A6F85">
            <w:pPr>
              <w:tabs>
                <w:tab w:val="left" w:pos="6300"/>
              </w:tabs>
              <w:snapToGrid w:val="0"/>
              <w:spacing w:line="500" w:lineRule="exact"/>
              <w:jc w:val="center"/>
              <w:outlineLvl w:val="0"/>
              <w:rPr>
                <w:rFonts w:ascii="宋体" w:hAnsi="宋体" w:cs="宋体"/>
                <w:color w:val="auto"/>
                <w:sz w:val="21"/>
                <w:szCs w:val="21"/>
                <w:highlight w:val="none"/>
              </w:rPr>
            </w:pPr>
            <w:bookmarkStart w:id="241" w:name="_Toc28814"/>
            <w:r>
              <w:rPr>
                <w:rFonts w:hint="eastAsia" w:ascii="宋体" w:hAnsi="宋体" w:cs="宋体"/>
                <w:color w:val="auto"/>
                <w:sz w:val="21"/>
                <w:szCs w:val="21"/>
                <w:highlight w:val="none"/>
              </w:rPr>
              <w:t>采购需求</w:t>
            </w:r>
            <w:bookmarkEnd w:id="241"/>
          </w:p>
        </w:tc>
        <w:tc>
          <w:tcPr>
            <w:tcW w:w="2759" w:type="dxa"/>
            <w:vAlign w:val="center"/>
          </w:tcPr>
          <w:p w14:paraId="7E4446A0">
            <w:pPr>
              <w:tabs>
                <w:tab w:val="left" w:pos="6300"/>
              </w:tabs>
              <w:snapToGrid w:val="0"/>
              <w:spacing w:line="500" w:lineRule="exact"/>
              <w:jc w:val="center"/>
              <w:outlineLvl w:val="0"/>
              <w:rPr>
                <w:rFonts w:ascii="宋体" w:hAnsi="宋体" w:cs="宋体"/>
                <w:color w:val="auto"/>
                <w:sz w:val="21"/>
                <w:szCs w:val="21"/>
                <w:highlight w:val="none"/>
              </w:rPr>
            </w:pPr>
            <w:bookmarkStart w:id="242" w:name="_Toc1057"/>
            <w:r>
              <w:rPr>
                <w:rFonts w:hint="eastAsia" w:ascii="宋体" w:hAnsi="宋体" w:cs="宋体"/>
                <w:color w:val="auto"/>
                <w:sz w:val="21"/>
                <w:szCs w:val="21"/>
                <w:highlight w:val="none"/>
              </w:rPr>
              <w:t>响应情况</w:t>
            </w:r>
            <w:bookmarkEnd w:id="242"/>
          </w:p>
        </w:tc>
        <w:tc>
          <w:tcPr>
            <w:tcW w:w="2067" w:type="dxa"/>
            <w:vAlign w:val="center"/>
          </w:tcPr>
          <w:p w14:paraId="687AAF18">
            <w:pPr>
              <w:tabs>
                <w:tab w:val="left" w:pos="6300"/>
              </w:tabs>
              <w:snapToGrid w:val="0"/>
              <w:spacing w:line="500" w:lineRule="exact"/>
              <w:jc w:val="center"/>
              <w:outlineLvl w:val="0"/>
              <w:rPr>
                <w:rFonts w:ascii="宋体" w:hAnsi="宋体" w:cs="宋体"/>
                <w:color w:val="auto"/>
                <w:sz w:val="21"/>
                <w:szCs w:val="21"/>
                <w:highlight w:val="none"/>
              </w:rPr>
            </w:pPr>
            <w:bookmarkStart w:id="243" w:name="_Toc27270"/>
            <w:r>
              <w:rPr>
                <w:rFonts w:hint="eastAsia" w:ascii="宋体" w:hAnsi="宋体" w:cs="宋体"/>
                <w:color w:val="auto"/>
                <w:sz w:val="21"/>
                <w:szCs w:val="21"/>
                <w:highlight w:val="none"/>
              </w:rPr>
              <w:t>差异说明</w:t>
            </w:r>
            <w:bookmarkEnd w:id="243"/>
          </w:p>
        </w:tc>
      </w:tr>
      <w:tr w14:paraId="0F6F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7D428C">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02A57C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83DE431">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D79848A">
            <w:pPr>
              <w:tabs>
                <w:tab w:val="left" w:pos="6300"/>
              </w:tabs>
              <w:snapToGrid w:val="0"/>
              <w:spacing w:line="500" w:lineRule="exact"/>
              <w:jc w:val="center"/>
              <w:rPr>
                <w:rFonts w:ascii="宋体" w:hAnsi="宋体" w:cs="宋体"/>
                <w:color w:val="auto"/>
                <w:sz w:val="21"/>
                <w:szCs w:val="21"/>
                <w:highlight w:val="none"/>
              </w:rPr>
            </w:pPr>
          </w:p>
        </w:tc>
      </w:tr>
      <w:tr w14:paraId="2CE6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C2405D">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39BAC5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0363B1D">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7B66255">
            <w:pPr>
              <w:tabs>
                <w:tab w:val="left" w:pos="6300"/>
              </w:tabs>
              <w:snapToGrid w:val="0"/>
              <w:spacing w:line="500" w:lineRule="exact"/>
              <w:jc w:val="center"/>
              <w:rPr>
                <w:rFonts w:ascii="宋体" w:hAnsi="宋体" w:cs="宋体"/>
                <w:color w:val="auto"/>
                <w:sz w:val="21"/>
                <w:szCs w:val="21"/>
                <w:highlight w:val="none"/>
              </w:rPr>
            </w:pPr>
          </w:p>
        </w:tc>
      </w:tr>
      <w:tr w14:paraId="3953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7339A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F5DD756">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C3B67BF">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A570B15">
            <w:pPr>
              <w:tabs>
                <w:tab w:val="left" w:pos="6300"/>
              </w:tabs>
              <w:snapToGrid w:val="0"/>
              <w:spacing w:line="500" w:lineRule="exact"/>
              <w:jc w:val="center"/>
              <w:rPr>
                <w:rFonts w:ascii="宋体" w:hAnsi="宋体" w:cs="宋体"/>
                <w:color w:val="auto"/>
                <w:sz w:val="21"/>
                <w:szCs w:val="21"/>
                <w:highlight w:val="none"/>
              </w:rPr>
            </w:pPr>
          </w:p>
        </w:tc>
      </w:tr>
      <w:tr w14:paraId="2CFF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DCD25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B2F4C52">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73206D8">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1624384">
            <w:pPr>
              <w:tabs>
                <w:tab w:val="left" w:pos="6300"/>
              </w:tabs>
              <w:snapToGrid w:val="0"/>
              <w:spacing w:line="500" w:lineRule="exact"/>
              <w:jc w:val="center"/>
              <w:rPr>
                <w:rFonts w:ascii="宋体" w:hAnsi="宋体" w:cs="宋体"/>
                <w:color w:val="auto"/>
                <w:sz w:val="21"/>
                <w:szCs w:val="21"/>
                <w:highlight w:val="none"/>
              </w:rPr>
            </w:pPr>
          </w:p>
        </w:tc>
      </w:tr>
      <w:tr w14:paraId="55FA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056986">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0EFDEBC">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73B4264">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E5D8A55">
            <w:pPr>
              <w:tabs>
                <w:tab w:val="left" w:pos="6300"/>
              </w:tabs>
              <w:snapToGrid w:val="0"/>
              <w:spacing w:line="500" w:lineRule="exact"/>
              <w:jc w:val="center"/>
              <w:rPr>
                <w:rFonts w:ascii="宋体" w:hAnsi="宋体" w:cs="宋体"/>
                <w:color w:val="auto"/>
                <w:sz w:val="21"/>
                <w:szCs w:val="21"/>
                <w:highlight w:val="none"/>
              </w:rPr>
            </w:pPr>
          </w:p>
        </w:tc>
      </w:tr>
      <w:tr w14:paraId="060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7935E3">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BAD5413">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76154D7">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85C75B5">
            <w:pPr>
              <w:tabs>
                <w:tab w:val="left" w:pos="6300"/>
              </w:tabs>
              <w:snapToGrid w:val="0"/>
              <w:spacing w:line="500" w:lineRule="exact"/>
              <w:jc w:val="center"/>
              <w:rPr>
                <w:rFonts w:ascii="宋体" w:hAnsi="宋体" w:cs="宋体"/>
                <w:color w:val="auto"/>
                <w:sz w:val="21"/>
                <w:szCs w:val="21"/>
                <w:highlight w:val="none"/>
              </w:rPr>
            </w:pPr>
          </w:p>
        </w:tc>
      </w:tr>
      <w:tr w14:paraId="247C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EE5BF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432CF292">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EBEC41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E70314E">
            <w:pPr>
              <w:tabs>
                <w:tab w:val="left" w:pos="6300"/>
              </w:tabs>
              <w:snapToGrid w:val="0"/>
              <w:spacing w:line="500" w:lineRule="exact"/>
              <w:jc w:val="center"/>
              <w:rPr>
                <w:rFonts w:ascii="宋体" w:hAnsi="宋体" w:cs="宋体"/>
                <w:color w:val="auto"/>
                <w:sz w:val="21"/>
                <w:szCs w:val="21"/>
                <w:highlight w:val="none"/>
              </w:rPr>
            </w:pPr>
          </w:p>
        </w:tc>
      </w:tr>
      <w:tr w14:paraId="61F4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6E3A7C">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4065DCE">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10E12D9">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46E08C7">
            <w:pPr>
              <w:tabs>
                <w:tab w:val="left" w:pos="6300"/>
              </w:tabs>
              <w:snapToGrid w:val="0"/>
              <w:spacing w:line="500" w:lineRule="exact"/>
              <w:jc w:val="center"/>
              <w:rPr>
                <w:rFonts w:ascii="宋体" w:hAnsi="宋体" w:cs="宋体"/>
                <w:color w:val="auto"/>
                <w:sz w:val="21"/>
                <w:szCs w:val="21"/>
                <w:highlight w:val="none"/>
              </w:rPr>
            </w:pPr>
          </w:p>
        </w:tc>
      </w:tr>
    </w:tbl>
    <w:p w14:paraId="07561B85">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07A3DE99">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C1ACA15">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6924D52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0314D09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DE2762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项目技术需求”中所列条款进行比较和响应；</w:t>
      </w:r>
    </w:p>
    <w:p w14:paraId="0EE11653">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000D3A6E">
      <w:pPr>
        <w:tabs>
          <w:tab w:val="left" w:pos="6300"/>
        </w:tabs>
        <w:snapToGrid w:val="0"/>
        <w:spacing w:line="500" w:lineRule="exact"/>
        <w:rPr>
          <w:rFonts w:ascii="宋体" w:hAnsi="宋体" w:cs="宋体"/>
          <w:color w:val="auto"/>
          <w:sz w:val="24"/>
          <w:szCs w:val="24"/>
          <w:highlight w:val="none"/>
        </w:rPr>
      </w:pPr>
    </w:p>
    <w:p w14:paraId="7601C3B8">
      <w:pPr>
        <w:pStyle w:val="6"/>
        <w:spacing w:before="0" w:after="0" w:line="360" w:lineRule="auto"/>
        <w:ind w:firstLine="482"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58C28C73">
      <w:pPr>
        <w:spacing w:line="360" w:lineRule="auto"/>
        <w:ind w:firstLine="465"/>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（二）技术部分评分所需资料（格式自定）</w:t>
      </w:r>
    </w:p>
    <w:p w14:paraId="0E8D7717">
      <w:pPr>
        <w:spacing w:before="0" w:after="0" w:line="360" w:lineRule="auto"/>
        <w:ind w:firstLine="482" w:firstLineChars="200"/>
        <w:outlineLvl w:val="9"/>
        <w:rPr>
          <w:rFonts w:ascii="宋体" w:hAnsi="宋体" w:cs="宋体"/>
          <w:b/>
          <w:bCs/>
          <w:color w:val="auto"/>
          <w:sz w:val="24"/>
          <w:szCs w:val="24"/>
          <w:highlight w:val="none"/>
        </w:rPr>
      </w:pPr>
      <w:bookmarkStart w:id="244" w:name="_Toc22826"/>
      <w:bookmarkStart w:id="245" w:name="_Toc9393"/>
      <w:bookmarkStart w:id="246" w:name="_Toc5634"/>
      <w:bookmarkStart w:id="247" w:name="_Toc342913421"/>
      <w:bookmarkStart w:id="248" w:name="_Toc313008358"/>
      <w:bookmarkStart w:id="249" w:name="_Toc313888362"/>
      <w:r>
        <w:rPr>
          <w:rFonts w:hint="eastAsia" w:ascii="宋体" w:hAnsi="宋体" w:cs="宋体"/>
          <w:b/>
          <w:bCs/>
          <w:color w:val="auto"/>
          <w:sz w:val="24"/>
          <w:szCs w:val="24"/>
          <w:highlight w:val="none"/>
        </w:rPr>
        <w:t>三、商务部分</w:t>
      </w:r>
      <w:bookmarkEnd w:id="244"/>
      <w:bookmarkEnd w:id="245"/>
      <w:bookmarkEnd w:id="246"/>
    </w:p>
    <w:p w14:paraId="0E45CB9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7FB69114">
      <w:pPr>
        <w:pStyle w:val="34"/>
        <w:tabs>
          <w:tab w:val="left" w:pos="6300"/>
        </w:tabs>
        <w:snapToGrid w:val="0"/>
        <w:spacing w:line="500" w:lineRule="exact"/>
        <w:ind w:firstLine="480" w:firstLineChars="200"/>
        <w:outlineLvl w:val="9"/>
        <w:rPr>
          <w:rFonts w:ascii="宋体" w:hAnsi="宋体" w:cs="宋体"/>
          <w:color w:val="auto"/>
          <w:sz w:val="24"/>
          <w:highlight w:val="none"/>
        </w:rPr>
      </w:pPr>
      <w:bookmarkStart w:id="250" w:name="_Toc22584"/>
      <w:r>
        <w:rPr>
          <w:rFonts w:hint="eastAsia" w:ascii="宋体" w:hAnsi="宋体" w:cs="宋体"/>
          <w:color w:val="auto"/>
          <w:sz w:val="24"/>
          <w:highlight w:val="none"/>
        </w:rPr>
        <w:t>项目号：</w:t>
      </w:r>
      <w:bookmarkEnd w:id="250"/>
    </w:p>
    <w:p w14:paraId="235ADA2F">
      <w:pPr>
        <w:pStyle w:val="34"/>
        <w:tabs>
          <w:tab w:val="left" w:pos="6300"/>
        </w:tabs>
        <w:snapToGrid w:val="0"/>
        <w:spacing w:line="500" w:lineRule="exact"/>
        <w:ind w:firstLine="480" w:firstLineChars="200"/>
        <w:outlineLvl w:val="9"/>
        <w:rPr>
          <w:rFonts w:ascii="宋体" w:hAnsi="宋体" w:cs="宋体"/>
          <w:color w:val="auto"/>
          <w:sz w:val="24"/>
          <w:highlight w:val="none"/>
        </w:rPr>
      </w:pPr>
      <w:bookmarkStart w:id="251" w:name="_Toc10444"/>
      <w:r>
        <w:rPr>
          <w:rFonts w:hint="eastAsia" w:ascii="宋体" w:hAnsi="宋体" w:cs="宋体"/>
          <w:color w:val="auto"/>
          <w:sz w:val="24"/>
          <w:highlight w:val="none"/>
        </w:rPr>
        <w:t>磋商项目名称：</w:t>
      </w:r>
      <w:bookmarkEnd w:id="251"/>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B3D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D5F5CF1">
            <w:pPr>
              <w:tabs>
                <w:tab w:val="left" w:pos="6300"/>
              </w:tabs>
              <w:snapToGrid w:val="0"/>
              <w:spacing w:line="500" w:lineRule="exact"/>
              <w:jc w:val="center"/>
              <w:outlineLvl w:val="0"/>
              <w:rPr>
                <w:rFonts w:ascii="宋体" w:hAnsi="宋体" w:cs="宋体"/>
                <w:color w:val="auto"/>
                <w:sz w:val="21"/>
                <w:szCs w:val="21"/>
                <w:highlight w:val="none"/>
              </w:rPr>
            </w:pPr>
            <w:bookmarkStart w:id="252" w:name="_Toc459"/>
            <w:r>
              <w:rPr>
                <w:rFonts w:hint="eastAsia" w:ascii="宋体" w:hAnsi="宋体" w:cs="宋体"/>
                <w:color w:val="auto"/>
                <w:sz w:val="21"/>
                <w:szCs w:val="21"/>
                <w:highlight w:val="none"/>
              </w:rPr>
              <w:t>序号</w:t>
            </w:r>
            <w:bookmarkEnd w:id="252"/>
          </w:p>
        </w:tc>
        <w:tc>
          <w:tcPr>
            <w:tcW w:w="2658" w:type="dxa"/>
            <w:vAlign w:val="center"/>
          </w:tcPr>
          <w:p w14:paraId="1D47527E">
            <w:pPr>
              <w:tabs>
                <w:tab w:val="left" w:pos="6300"/>
              </w:tabs>
              <w:snapToGrid w:val="0"/>
              <w:spacing w:line="500" w:lineRule="exact"/>
              <w:jc w:val="center"/>
              <w:outlineLvl w:val="0"/>
              <w:rPr>
                <w:rFonts w:ascii="宋体" w:hAnsi="宋体" w:cs="宋体"/>
                <w:color w:val="auto"/>
                <w:sz w:val="21"/>
                <w:szCs w:val="21"/>
                <w:highlight w:val="none"/>
              </w:rPr>
            </w:pPr>
            <w:bookmarkStart w:id="253" w:name="_Toc15051"/>
            <w:r>
              <w:rPr>
                <w:rFonts w:hint="eastAsia" w:ascii="宋体" w:hAnsi="宋体" w:cs="宋体"/>
                <w:color w:val="auto"/>
                <w:sz w:val="21"/>
                <w:szCs w:val="21"/>
                <w:highlight w:val="none"/>
              </w:rPr>
              <w:t>采购需求</w:t>
            </w:r>
            <w:bookmarkEnd w:id="253"/>
          </w:p>
        </w:tc>
        <w:tc>
          <w:tcPr>
            <w:tcW w:w="2759" w:type="dxa"/>
            <w:vAlign w:val="center"/>
          </w:tcPr>
          <w:p w14:paraId="687510F2">
            <w:pPr>
              <w:tabs>
                <w:tab w:val="left" w:pos="6300"/>
              </w:tabs>
              <w:snapToGrid w:val="0"/>
              <w:spacing w:line="500" w:lineRule="exact"/>
              <w:jc w:val="center"/>
              <w:outlineLvl w:val="0"/>
              <w:rPr>
                <w:rFonts w:ascii="宋体" w:hAnsi="宋体" w:cs="宋体"/>
                <w:color w:val="auto"/>
                <w:sz w:val="21"/>
                <w:szCs w:val="21"/>
                <w:highlight w:val="none"/>
              </w:rPr>
            </w:pPr>
            <w:bookmarkStart w:id="254" w:name="_Toc5952"/>
            <w:r>
              <w:rPr>
                <w:rFonts w:hint="eastAsia" w:ascii="宋体" w:hAnsi="宋体" w:cs="宋体"/>
                <w:color w:val="auto"/>
                <w:sz w:val="21"/>
                <w:szCs w:val="21"/>
                <w:highlight w:val="none"/>
              </w:rPr>
              <w:t>响应情况</w:t>
            </w:r>
            <w:bookmarkEnd w:id="254"/>
          </w:p>
        </w:tc>
        <w:tc>
          <w:tcPr>
            <w:tcW w:w="2067" w:type="dxa"/>
            <w:vAlign w:val="center"/>
          </w:tcPr>
          <w:p w14:paraId="1D7919C3">
            <w:pPr>
              <w:tabs>
                <w:tab w:val="left" w:pos="6300"/>
              </w:tabs>
              <w:snapToGrid w:val="0"/>
              <w:spacing w:line="500" w:lineRule="exact"/>
              <w:jc w:val="center"/>
              <w:outlineLvl w:val="0"/>
              <w:rPr>
                <w:rFonts w:ascii="宋体" w:hAnsi="宋体" w:cs="宋体"/>
                <w:color w:val="auto"/>
                <w:sz w:val="21"/>
                <w:szCs w:val="21"/>
                <w:highlight w:val="none"/>
              </w:rPr>
            </w:pPr>
            <w:bookmarkStart w:id="255" w:name="_Toc12592"/>
            <w:r>
              <w:rPr>
                <w:rFonts w:hint="eastAsia" w:ascii="宋体" w:hAnsi="宋体" w:cs="宋体"/>
                <w:color w:val="auto"/>
                <w:sz w:val="21"/>
                <w:szCs w:val="21"/>
                <w:highlight w:val="none"/>
              </w:rPr>
              <w:t>差异说明</w:t>
            </w:r>
            <w:bookmarkEnd w:id="255"/>
          </w:p>
        </w:tc>
      </w:tr>
      <w:tr w14:paraId="4A3B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62FF8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480A3C2C">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B50F2E5">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E63251C">
            <w:pPr>
              <w:tabs>
                <w:tab w:val="left" w:pos="6300"/>
              </w:tabs>
              <w:snapToGrid w:val="0"/>
              <w:spacing w:line="500" w:lineRule="exact"/>
              <w:jc w:val="center"/>
              <w:rPr>
                <w:rFonts w:ascii="宋体" w:hAnsi="宋体" w:cs="宋体"/>
                <w:color w:val="auto"/>
                <w:sz w:val="21"/>
                <w:szCs w:val="21"/>
                <w:highlight w:val="none"/>
              </w:rPr>
            </w:pPr>
          </w:p>
        </w:tc>
      </w:tr>
      <w:tr w14:paraId="694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617E18">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958F586">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5954342">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C94FA48">
            <w:pPr>
              <w:tabs>
                <w:tab w:val="left" w:pos="6300"/>
              </w:tabs>
              <w:snapToGrid w:val="0"/>
              <w:spacing w:line="500" w:lineRule="exact"/>
              <w:jc w:val="center"/>
              <w:rPr>
                <w:rFonts w:ascii="宋体" w:hAnsi="宋体" w:cs="宋体"/>
                <w:color w:val="auto"/>
                <w:sz w:val="21"/>
                <w:szCs w:val="21"/>
                <w:highlight w:val="none"/>
              </w:rPr>
            </w:pPr>
          </w:p>
        </w:tc>
      </w:tr>
      <w:tr w14:paraId="058F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950D72">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9E01FD9">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3BE7B01">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949E7AB">
            <w:pPr>
              <w:tabs>
                <w:tab w:val="left" w:pos="6300"/>
              </w:tabs>
              <w:snapToGrid w:val="0"/>
              <w:spacing w:line="500" w:lineRule="exact"/>
              <w:jc w:val="center"/>
              <w:rPr>
                <w:rFonts w:ascii="宋体" w:hAnsi="宋体" w:cs="宋体"/>
                <w:color w:val="auto"/>
                <w:sz w:val="21"/>
                <w:szCs w:val="21"/>
                <w:highlight w:val="none"/>
              </w:rPr>
            </w:pPr>
          </w:p>
        </w:tc>
      </w:tr>
      <w:tr w14:paraId="4B68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6620B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067E51F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DDC9415">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66A959F">
            <w:pPr>
              <w:tabs>
                <w:tab w:val="left" w:pos="6300"/>
              </w:tabs>
              <w:snapToGrid w:val="0"/>
              <w:spacing w:line="500" w:lineRule="exact"/>
              <w:jc w:val="center"/>
              <w:rPr>
                <w:rFonts w:ascii="宋体" w:hAnsi="宋体" w:cs="宋体"/>
                <w:color w:val="auto"/>
                <w:sz w:val="21"/>
                <w:szCs w:val="21"/>
                <w:highlight w:val="none"/>
              </w:rPr>
            </w:pPr>
          </w:p>
        </w:tc>
      </w:tr>
      <w:tr w14:paraId="5745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714D1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22F0E77">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ADCA5CF">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35C6F08">
            <w:pPr>
              <w:tabs>
                <w:tab w:val="left" w:pos="6300"/>
              </w:tabs>
              <w:snapToGrid w:val="0"/>
              <w:spacing w:line="500" w:lineRule="exact"/>
              <w:jc w:val="center"/>
              <w:rPr>
                <w:rFonts w:ascii="宋体" w:hAnsi="宋体" w:cs="宋体"/>
                <w:color w:val="auto"/>
                <w:sz w:val="21"/>
                <w:szCs w:val="21"/>
                <w:highlight w:val="none"/>
              </w:rPr>
            </w:pPr>
          </w:p>
        </w:tc>
      </w:tr>
      <w:tr w14:paraId="2B41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FBF9D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1E3094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515C014">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0ED809D">
            <w:pPr>
              <w:tabs>
                <w:tab w:val="left" w:pos="6300"/>
              </w:tabs>
              <w:snapToGrid w:val="0"/>
              <w:spacing w:line="500" w:lineRule="exact"/>
              <w:jc w:val="center"/>
              <w:rPr>
                <w:rFonts w:ascii="宋体" w:hAnsi="宋体" w:cs="宋体"/>
                <w:color w:val="auto"/>
                <w:sz w:val="21"/>
                <w:szCs w:val="21"/>
                <w:highlight w:val="none"/>
              </w:rPr>
            </w:pPr>
          </w:p>
        </w:tc>
      </w:tr>
      <w:tr w14:paraId="599D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E76FF3">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93212C9">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7A0D0E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131F833">
            <w:pPr>
              <w:tabs>
                <w:tab w:val="left" w:pos="6300"/>
              </w:tabs>
              <w:snapToGrid w:val="0"/>
              <w:spacing w:line="500" w:lineRule="exact"/>
              <w:jc w:val="center"/>
              <w:rPr>
                <w:rFonts w:ascii="宋体" w:hAnsi="宋体" w:cs="宋体"/>
                <w:color w:val="auto"/>
                <w:sz w:val="21"/>
                <w:szCs w:val="21"/>
                <w:highlight w:val="none"/>
              </w:rPr>
            </w:pPr>
          </w:p>
        </w:tc>
      </w:tr>
      <w:tr w14:paraId="6423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141A8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0E63B40">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11926D4">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E7BD124">
            <w:pPr>
              <w:tabs>
                <w:tab w:val="left" w:pos="6300"/>
              </w:tabs>
              <w:snapToGrid w:val="0"/>
              <w:spacing w:line="500" w:lineRule="exact"/>
              <w:jc w:val="center"/>
              <w:rPr>
                <w:rFonts w:ascii="宋体" w:hAnsi="宋体" w:cs="宋体"/>
                <w:color w:val="auto"/>
                <w:sz w:val="21"/>
                <w:szCs w:val="21"/>
                <w:highlight w:val="none"/>
              </w:rPr>
            </w:pPr>
          </w:p>
        </w:tc>
      </w:tr>
    </w:tbl>
    <w:p w14:paraId="6F72EE7D">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4C27BDC3">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B242271">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0049131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F93BE6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0CACA5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14:paraId="158C2B45">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078E0346">
      <w:pPr>
        <w:spacing w:line="360" w:lineRule="auto"/>
        <w:rPr>
          <w:rFonts w:ascii="宋体" w:hAnsi="宋体" w:cs="宋体"/>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3A0327A7">
      <w:pPr>
        <w:snapToGrid w:val="0"/>
        <w:spacing w:line="360" w:lineRule="auto"/>
        <w:ind w:left="465"/>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676A23DF">
      <w:pPr>
        <w:snapToGrid w:val="0"/>
        <w:spacing w:line="360" w:lineRule="auto"/>
        <w:ind w:left="465"/>
        <w:rPr>
          <w:rFonts w:ascii="宋体" w:hAnsi="宋体"/>
          <w:color w:val="auto"/>
          <w:szCs w:val="28"/>
          <w:highlight w:val="none"/>
        </w:rPr>
      </w:pPr>
    </w:p>
    <w:p w14:paraId="60AB44AD">
      <w:pPr>
        <w:pStyle w:val="70"/>
        <w:rPr>
          <w:rFonts w:hAnsi="宋体"/>
          <w:color w:val="auto"/>
          <w:szCs w:val="28"/>
          <w:highlight w:val="none"/>
        </w:rPr>
      </w:pPr>
    </w:p>
    <w:p w14:paraId="54947B03">
      <w:pPr>
        <w:pStyle w:val="70"/>
        <w:rPr>
          <w:rFonts w:hAnsi="宋体"/>
          <w:color w:val="auto"/>
          <w:szCs w:val="28"/>
          <w:highlight w:val="none"/>
        </w:rPr>
      </w:pPr>
    </w:p>
    <w:p w14:paraId="22B23DD1">
      <w:pPr>
        <w:pStyle w:val="70"/>
        <w:rPr>
          <w:rFonts w:hAnsi="宋体"/>
          <w:color w:val="auto"/>
          <w:szCs w:val="28"/>
          <w:highlight w:val="none"/>
        </w:rPr>
      </w:pPr>
    </w:p>
    <w:p w14:paraId="6FC0D8D0">
      <w:pPr>
        <w:pStyle w:val="70"/>
        <w:rPr>
          <w:rFonts w:hAnsi="宋体"/>
          <w:color w:val="auto"/>
          <w:szCs w:val="28"/>
          <w:highlight w:val="none"/>
        </w:rPr>
      </w:pPr>
    </w:p>
    <w:p w14:paraId="383FC51D">
      <w:pPr>
        <w:pStyle w:val="70"/>
        <w:rPr>
          <w:rFonts w:hAnsi="宋体"/>
          <w:color w:val="auto"/>
          <w:szCs w:val="28"/>
          <w:highlight w:val="none"/>
        </w:rPr>
      </w:pPr>
    </w:p>
    <w:p w14:paraId="1E264E22">
      <w:pPr>
        <w:pStyle w:val="70"/>
        <w:rPr>
          <w:rFonts w:hAnsi="宋体"/>
          <w:color w:val="auto"/>
          <w:szCs w:val="28"/>
          <w:highlight w:val="none"/>
        </w:rPr>
      </w:pPr>
    </w:p>
    <w:p w14:paraId="211C10D9">
      <w:pPr>
        <w:pStyle w:val="70"/>
        <w:rPr>
          <w:rFonts w:hAnsi="宋体"/>
          <w:color w:val="auto"/>
          <w:szCs w:val="28"/>
          <w:highlight w:val="none"/>
        </w:rPr>
      </w:pPr>
    </w:p>
    <w:p w14:paraId="61B8F838">
      <w:pPr>
        <w:pStyle w:val="70"/>
        <w:rPr>
          <w:rFonts w:hAnsi="宋体"/>
          <w:color w:val="auto"/>
          <w:szCs w:val="28"/>
          <w:highlight w:val="none"/>
        </w:rPr>
      </w:pPr>
    </w:p>
    <w:p w14:paraId="5511FC8B">
      <w:pPr>
        <w:pStyle w:val="70"/>
        <w:rPr>
          <w:rFonts w:hAnsi="宋体"/>
          <w:color w:val="auto"/>
          <w:szCs w:val="28"/>
          <w:highlight w:val="none"/>
        </w:rPr>
      </w:pPr>
    </w:p>
    <w:p w14:paraId="07668120">
      <w:pPr>
        <w:pStyle w:val="70"/>
        <w:rPr>
          <w:rFonts w:hAnsi="宋体"/>
          <w:color w:val="auto"/>
          <w:szCs w:val="28"/>
          <w:highlight w:val="none"/>
        </w:rPr>
      </w:pPr>
    </w:p>
    <w:p w14:paraId="5BA4259D">
      <w:pPr>
        <w:pStyle w:val="70"/>
        <w:rPr>
          <w:rFonts w:hAnsi="宋体"/>
          <w:color w:val="auto"/>
          <w:szCs w:val="28"/>
          <w:highlight w:val="none"/>
        </w:rPr>
      </w:pPr>
    </w:p>
    <w:p w14:paraId="0D1749C7">
      <w:pPr>
        <w:pStyle w:val="70"/>
        <w:rPr>
          <w:rFonts w:hAnsi="宋体"/>
          <w:color w:val="auto"/>
          <w:szCs w:val="28"/>
          <w:highlight w:val="none"/>
        </w:rPr>
      </w:pPr>
    </w:p>
    <w:p w14:paraId="0B174EB2">
      <w:pPr>
        <w:pStyle w:val="70"/>
        <w:rPr>
          <w:rFonts w:hAnsi="宋体"/>
          <w:color w:val="auto"/>
          <w:szCs w:val="28"/>
          <w:highlight w:val="none"/>
        </w:rPr>
      </w:pPr>
    </w:p>
    <w:p w14:paraId="12DD4D55">
      <w:pPr>
        <w:pStyle w:val="70"/>
        <w:rPr>
          <w:rFonts w:hAnsi="宋体"/>
          <w:color w:val="auto"/>
          <w:szCs w:val="28"/>
          <w:highlight w:val="none"/>
        </w:rPr>
      </w:pPr>
    </w:p>
    <w:p w14:paraId="0BBA96FD">
      <w:pPr>
        <w:pStyle w:val="70"/>
        <w:rPr>
          <w:rFonts w:hAnsi="宋体"/>
          <w:color w:val="auto"/>
          <w:szCs w:val="28"/>
          <w:highlight w:val="none"/>
        </w:rPr>
      </w:pPr>
    </w:p>
    <w:p w14:paraId="5019B0F4">
      <w:pPr>
        <w:pStyle w:val="70"/>
        <w:rPr>
          <w:rFonts w:hAnsi="宋体"/>
          <w:color w:val="auto"/>
          <w:szCs w:val="28"/>
          <w:highlight w:val="none"/>
        </w:rPr>
      </w:pPr>
    </w:p>
    <w:p w14:paraId="08A4FD15">
      <w:pPr>
        <w:pStyle w:val="70"/>
        <w:rPr>
          <w:rFonts w:hAnsi="宋体"/>
          <w:color w:val="auto"/>
          <w:szCs w:val="28"/>
          <w:highlight w:val="none"/>
        </w:rPr>
      </w:pPr>
    </w:p>
    <w:p w14:paraId="77C93C9E">
      <w:pPr>
        <w:pStyle w:val="70"/>
        <w:rPr>
          <w:rFonts w:hAnsi="宋体"/>
          <w:color w:val="auto"/>
          <w:szCs w:val="28"/>
          <w:highlight w:val="none"/>
        </w:rPr>
      </w:pPr>
    </w:p>
    <w:p w14:paraId="50BC4041">
      <w:pPr>
        <w:pStyle w:val="70"/>
        <w:rPr>
          <w:rFonts w:hAnsi="宋体"/>
          <w:color w:val="auto"/>
          <w:szCs w:val="28"/>
          <w:highlight w:val="none"/>
        </w:rPr>
      </w:pPr>
    </w:p>
    <w:p w14:paraId="7263F640">
      <w:pPr>
        <w:pStyle w:val="70"/>
        <w:rPr>
          <w:rFonts w:hAnsi="宋体"/>
          <w:color w:val="auto"/>
          <w:szCs w:val="28"/>
          <w:highlight w:val="none"/>
        </w:rPr>
      </w:pPr>
    </w:p>
    <w:p w14:paraId="159FE868">
      <w:pPr>
        <w:pStyle w:val="70"/>
        <w:rPr>
          <w:rFonts w:hAnsi="宋体"/>
          <w:color w:val="auto"/>
          <w:szCs w:val="28"/>
          <w:highlight w:val="none"/>
        </w:rPr>
      </w:pPr>
    </w:p>
    <w:p w14:paraId="3ABF146E">
      <w:pPr>
        <w:pStyle w:val="70"/>
        <w:rPr>
          <w:rFonts w:hAnsi="宋体"/>
          <w:color w:val="auto"/>
          <w:szCs w:val="28"/>
          <w:highlight w:val="none"/>
        </w:rPr>
      </w:pPr>
    </w:p>
    <w:p w14:paraId="641A2603">
      <w:pPr>
        <w:pStyle w:val="70"/>
        <w:rPr>
          <w:rFonts w:hAnsi="宋体"/>
          <w:color w:val="auto"/>
          <w:szCs w:val="28"/>
          <w:highlight w:val="none"/>
        </w:rPr>
      </w:pPr>
    </w:p>
    <w:p w14:paraId="232694E2">
      <w:pPr>
        <w:pStyle w:val="70"/>
        <w:rPr>
          <w:rFonts w:hAnsi="宋体"/>
          <w:color w:val="auto"/>
          <w:szCs w:val="28"/>
          <w:highlight w:val="none"/>
        </w:rPr>
      </w:pPr>
    </w:p>
    <w:p w14:paraId="2CFE9AE7">
      <w:pPr>
        <w:pStyle w:val="70"/>
        <w:rPr>
          <w:rFonts w:hAnsi="宋体"/>
          <w:color w:val="auto"/>
          <w:szCs w:val="28"/>
          <w:highlight w:val="none"/>
        </w:rPr>
      </w:pPr>
    </w:p>
    <w:p w14:paraId="67E9899B">
      <w:pPr>
        <w:pStyle w:val="70"/>
        <w:rPr>
          <w:rFonts w:hAnsi="宋体"/>
          <w:color w:val="auto"/>
          <w:szCs w:val="28"/>
          <w:highlight w:val="none"/>
        </w:rPr>
      </w:pPr>
    </w:p>
    <w:p w14:paraId="4771D297">
      <w:pPr>
        <w:pStyle w:val="70"/>
        <w:rPr>
          <w:rFonts w:hAnsi="宋体"/>
          <w:color w:val="auto"/>
          <w:szCs w:val="28"/>
          <w:highlight w:val="none"/>
        </w:rPr>
      </w:pPr>
    </w:p>
    <w:p w14:paraId="7F8B4FAF">
      <w:pPr>
        <w:pStyle w:val="70"/>
        <w:rPr>
          <w:rFonts w:hAnsi="宋体"/>
          <w:color w:val="auto"/>
          <w:szCs w:val="28"/>
          <w:highlight w:val="none"/>
        </w:rPr>
      </w:pPr>
    </w:p>
    <w:p w14:paraId="77BEF0A0">
      <w:pPr>
        <w:pStyle w:val="70"/>
        <w:rPr>
          <w:rFonts w:hAnsi="宋体"/>
          <w:color w:val="auto"/>
          <w:szCs w:val="28"/>
          <w:highlight w:val="none"/>
        </w:rPr>
      </w:pPr>
    </w:p>
    <w:p w14:paraId="7FC79BCC">
      <w:pPr>
        <w:pStyle w:val="70"/>
        <w:rPr>
          <w:rFonts w:hAnsi="宋体"/>
          <w:color w:val="auto"/>
          <w:szCs w:val="28"/>
          <w:highlight w:val="none"/>
        </w:rPr>
      </w:pPr>
    </w:p>
    <w:p w14:paraId="566C470F">
      <w:pPr>
        <w:pStyle w:val="70"/>
        <w:rPr>
          <w:rFonts w:hAnsi="宋体"/>
          <w:color w:val="auto"/>
          <w:szCs w:val="28"/>
          <w:highlight w:val="none"/>
        </w:rPr>
      </w:pPr>
    </w:p>
    <w:p w14:paraId="3D7EDFF1">
      <w:pPr>
        <w:pStyle w:val="70"/>
        <w:rPr>
          <w:rFonts w:hAnsi="宋体"/>
          <w:color w:val="auto"/>
          <w:szCs w:val="28"/>
          <w:highlight w:val="none"/>
        </w:rPr>
      </w:pPr>
    </w:p>
    <w:p w14:paraId="32C31FFF">
      <w:pPr>
        <w:pStyle w:val="70"/>
        <w:rPr>
          <w:rFonts w:hAnsi="宋体"/>
          <w:color w:val="auto"/>
          <w:szCs w:val="28"/>
          <w:highlight w:val="none"/>
        </w:rPr>
      </w:pPr>
    </w:p>
    <w:p w14:paraId="2B4BD837">
      <w:pPr>
        <w:pStyle w:val="70"/>
        <w:rPr>
          <w:rFonts w:hAnsi="宋体"/>
          <w:color w:val="auto"/>
          <w:szCs w:val="28"/>
          <w:highlight w:val="none"/>
        </w:rPr>
      </w:pPr>
    </w:p>
    <w:p w14:paraId="4CC38CBB">
      <w:pPr>
        <w:pStyle w:val="70"/>
        <w:rPr>
          <w:rFonts w:hAnsi="宋体"/>
          <w:color w:val="auto"/>
          <w:szCs w:val="28"/>
          <w:highlight w:val="none"/>
        </w:rPr>
      </w:pPr>
    </w:p>
    <w:p w14:paraId="3D0E7BF3">
      <w:pPr>
        <w:pStyle w:val="70"/>
        <w:rPr>
          <w:rFonts w:hAnsi="宋体"/>
          <w:color w:val="auto"/>
          <w:szCs w:val="28"/>
          <w:highlight w:val="none"/>
        </w:rPr>
      </w:pPr>
    </w:p>
    <w:p w14:paraId="11BC687B">
      <w:pPr>
        <w:pStyle w:val="70"/>
        <w:rPr>
          <w:rFonts w:hAnsi="宋体"/>
          <w:color w:val="auto"/>
          <w:szCs w:val="28"/>
          <w:highlight w:val="none"/>
        </w:rPr>
      </w:pPr>
    </w:p>
    <w:p w14:paraId="032BE5E9">
      <w:pPr>
        <w:pStyle w:val="70"/>
        <w:rPr>
          <w:rFonts w:hAnsi="宋体"/>
          <w:color w:val="auto"/>
          <w:szCs w:val="28"/>
          <w:highlight w:val="none"/>
        </w:rPr>
      </w:pPr>
    </w:p>
    <w:p w14:paraId="00019009">
      <w:pPr>
        <w:pStyle w:val="70"/>
        <w:rPr>
          <w:rFonts w:hAnsi="宋体"/>
          <w:color w:val="auto"/>
          <w:szCs w:val="28"/>
          <w:highlight w:val="none"/>
        </w:rPr>
      </w:pPr>
    </w:p>
    <w:p w14:paraId="700FD3B0">
      <w:pPr>
        <w:pStyle w:val="70"/>
        <w:rPr>
          <w:rFonts w:hAnsi="宋体"/>
          <w:color w:val="auto"/>
          <w:szCs w:val="28"/>
          <w:highlight w:val="none"/>
        </w:rPr>
      </w:pPr>
    </w:p>
    <w:p w14:paraId="19C34A20">
      <w:pPr>
        <w:pStyle w:val="70"/>
        <w:rPr>
          <w:rFonts w:hAnsi="宋体"/>
          <w:color w:val="auto"/>
          <w:szCs w:val="28"/>
          <w:highlight w:val="none"/>
        </w:rPr>
      </w:pPr>
    </w:p>
    <w:p w14:paraId="45C672F0">
      <w:pPr>
        <w:snapToGrid w:val="0"/>
        <w:spacing w:line="360" w:lineRule="auto"/>
        <w:ind w:firstLine="480"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（三）其它优惠服务承诺</w:t>
      </w:r>
    </w:p>
    <w:p w14:paraId="7777BE4F">
      <w:pPr>
        <w:snapToGrid w:val="0"/>
        <w:spacing w:line="360" w:lineRule="auto"/>
        <w:ind w:firstLine="482" w:firstLineChars="200"/>
        <w:outlineLvl w:val="9"/>
        <w:rPr>
          <w:rFonts w:ascii="宋体" w:hAnsi="宋体" w:cs="宋体"/>
          <w:color w:val="auto"/>
          <w:sz w:val="24"/>
          <w:highlight w:val="none"/>
        </w:rPr>
      </w:pPr>
      <w:bookmarkStart w:id="256" w:name="_Toc17509"/>
      <w:bookmarkStart w:id="257" w:name="_Toc106030909"/>
      <w:bookmarkStart w:id="258" w:name="_Toc76462353"/>
      <w:bookmarkStart w:id="259" w:name="_Toc160701979"/>
      <w:bookmarkStart w:id="260" w:name="_Toc65660382"/>
      <w:bookmarkStart w:id="261" w:name="_Toc20162"/>
      <w:bookmarkStart w:id="262" w:name="_Toc2082"/>
      <w:bookmarkStart w:id="263" w:name="_Toc18125"/>
      <w:r>
        <w:rPr>
          <w:rFonts w:hint="eastAsia" w:ascii="宋体" w:hAnsi="宋体" w:cs="宋体"/>
          <w:b/>
          <w:bCs/>
          <w:color w:val="auto"/>
          <w:sz w:val="24"/>
          <w:highlight w:val="none"/>
        </w:rPr>
        <w:t>四、资格条件</w:t>
      </w:r>
      <w:bookmarkEnd w:id="256"/>
      <w:bookmarkEnd w:id="257"/>
      <w:bookmarkEnd w:id="258"/>
    </w:p>
    <w:p w14:paraId="2CEF2348">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6405048">
      <w:pPr>
        <w:tabs>
          <w:tab w:val="left" w:pos="6300"/>
        </w:tabs>
        <w:snapToGrid w:val="0"/>
        <w:spacing w:line="400" w:lineRule="exact"/>
        <w:ind w:firstLine="570"/>
        <w:rPr>
          <w:rFonts w:ascii="宋体" w:hAnsi="宋体" w:cs="宋体"/>
          <w:color w:val="auto"/>
          <w:highlight w:val="none"/>
        </w:rPr>
      </w:pPr>
    </w:p>
    <w:p w14:paraId="78087332">
      <w:pPr>
        <w:tabs>
          <w:tab w:val="left" w:pos="6300"/>
        </w:tabs>
        <w:snapToGrid w:val="0"/>
        <w:spacing w:line="500" w:lineRule="exact"/>
        <w:ind w:firstLine="570"/>
        <w:rPr>
          <w:rFonts w:ascii="宋体" w:hAnsi="宋体" w:cs="宋体"/>
          <w:color w:val="auto"/>
          <w:highlight w:val="none"/>
        </w:rPr>
      </w:pPr>
    </w:p>
    <w:p w14:paraId="5D37AF88">
      <w:pPr>
        <w:tabs>
          <w:tab w:val="left" w:pos="6300"/>
        </w:tabs>
        <w:snapToGrid w:val="0"/>
        <w:spacing w:line="500" w:lineRule="exact"/>
        <w:ind w:firstLine="570"/>
        <w:rPr>
          <w:rFonts w:ascii="宋体" w:hAnsi="宋体" w:cs="宋体"/>
          <w:color w:val="auto"/>
          <w:highlight w:val="none"/>
        </w:rPr>
      </w:pPr>
    </w:p>
    <w:p w14:paraId="3794808F">
      <w:pPr>
        <w:tabs>
          <w:tab w:val="left" w:pos="6300"/>
        </w:tabs>
        <w:snapToGrid w:val="0"/>
        <w:spacing w:line="500" w:lineRule="exact"/>
        <w:ind w:firstLine="570"/>
        <w:rPr>
          <w:rFonts w:ascii="宋体" w:hAnsi="宋体" w:cs="宋体"/>
          <w:color w:val="auto"/>
          <w:highlight w:val="none"/>
        </w:rPr>
      </w:pPr>
    </w:p>
    <w:p w14:paraId="1F7DFE58">
      <w:pPr>
        <w:tabs>
          <w:tab w:val="left" w:pos="6300"/>
        </w:tabs>
        <w:snapToGrid w:val="0"/>
        <w:spacing w:line="500" w:lineRule="exact"/>
        <w:ind w:firstLine="570"/>
        <w:rPr>
          <w:rFonts w:ascii="宋体" w:hAnsi="宋体" w:cs="宋体"/>
          <w:color w:val="auto"/>
          <w:highlight w:val="none"/>
        </w:rPr>
      </w:pPr>
    </w:p>
    <w:p w14:paraId="634F5EF8">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6FA5DFE2">
      <w:pPr>
        <w:tabs>
          <w:tab w:val="left" w:pos="6300"/>
        </w:tabs>
        <w:snapToGrid w:val="0"/>
        <w:spacing w:line="500" w:lineRule="exact"/>
        <w:ind w:firstLine="570"/>
        <w:rPr>
          <w:rFonts w:ascii="宋体" w:hAnsi="宋体" w:cs="宋体"/>
          <w:color w:val="auto"/>
          <w:sz w:val="24"/>
          <w:highlight w:val="none"/>
        </w:rPr>
      </w:pPr>
    </w:p>
    <w:p w14:paraId="7A9F1E7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0790D28F">
      <w:pPr>
        <w:tabs>
          <w:tab w:val="left" w:pos="6300"/>
        </w:tabs>
        <w:snapToGrid w:val="0"/>
        <w:spacing w:line="500" w:lineRule="exact"/>
        <w:ind w:firstLine="570"/>
        <w:rPr>
          <w:rFonts w:ascii="宋体" w:hAnsi="宋体" w:cs="宋体"/>
          <w:color w:val="auto"/>
          <w:sz w:val="24"/>
          <w:highlight w:val="none"/>
        </w:rPr>
      </w:pPr>
    </w:p>
    <w:p w14:paraId="46A2FDC8">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8E7A49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717C8437">
      <w:pPr>
        <w:tabs>
          <w:tab w:val="left" w:pos="6300"/>
        </w:tabs>
        <w:snapToGrid w:val="0"/>
        <w:spacing w:line="500" w:lineRule="exact"/>
        <w:ind w:firstLine="570"/>
        <w:rPr>
          <w:rFonts w:ascii="宋体" w:hAnsi="宋体" w:cs="宋体"/>
          <w:color w:val="auto"/>
          <w:sz w:val="24"/>
          <w:highlight w:val="none"/>
        </w:rPr>
      </w:pPr>
    </w:p>
    <w:p w14:paraId="0057A10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47E1CD46">
      <w:pPr>
        <w:tabs>
          <w:tab w:val="left" w:pos="6300"/>
        </w:tabs>
        <w:snapToGrid w:val="0"/>
        <w:spacing w:line="500" w:lineRule="exact"/>
        <w:ind w:firstLine="570"/>
        <w:rPr>
          <w:rFonts w:ascii="宋体" w:hAnsi="宋体" w:cs="宋体"/>
          <w:color w:val="auto"/>
          <w:sz w:val="24"/>
          <w:highlight w:val="none"/>
        </w:rPr>
      </w:pPr>
    </w:p>
    <w:p w14:paraId="5F95CF20">
      <w:pPr>
        <w:tabs>
          <w:tab w:val="left" w:pos="6300"/>
        </w:tabs>
        <w:snapToGrid w:val="0"/>
        <w:spacing w:line="500" w:lineRule="exact"/>
        <w:ind w:firstLine="570"/>
        <w:rPr>
          <w:rFonts w:ascii="宋体" w:hAnsi="宋体" w:cs="宋体"/>
          <w:color w:val="auto"/>
          <w:sz w:val="24"/>
          <w:highlight w:val="none"/>
        </w:rPr>
      </w:pPr>
    </w:p>
    <w:p w14:paraId="66FBB8A9">
      <w:pPr>
        <w:tabs>
          <w:tab w:val="left" w:pos="6300"/>
        </w:tabs>
        <w:snapToGrid w:val="0"/>
        <w:spacing w:line="500" w:lineRule="exact"/>
        <w:ind w:firstLine="570"/>
        <w:rPr>
          <w:rFonts w:ascii="宋体" w:hAnsi="宋体" w:cs="宋体"/>
          <w:color w:val="auto"/>
          <w:sz w:val="24"/>
          <w:highlight w:val="none"/>
        </w:rPr>
      </w:pPr>
    </w:p>
    <w:p w14:paraId="6838ABB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24E395A5">
      <w:pPr>
        <w:tabs>
          <w:tab w:val="left" w:pos="6300"/>
        </w:tabs>
        <w:snapToGrid w:val="0"/>
        <w:spacing w:line="500" w:lineRule="exact"/>
        <w:ind w:firstLine="570"/>
        <w:rPr>
          <w:rFonts w:ascii="宋体" w:hAnsi="宋体" w:cs="宋体"/>
          <w:color w:val="auto"/>
          <w:sz w:val="24"/>
          <w:highlight w:val="none"/>
        </w:rPr>
      </w:pPr>
    </w:p>
    <w:p w14:paraId="257B663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29B25C6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7C9B81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57CA0D10">
      <w:pPr>
        <w:tabs>
          <w:tab w:val="left" w:pos="6300"/>
        </w:tabs>
        <w:snapToGrid w:val="0"/>
        <w:spacing w:line="500" w:lineRule="exact"/>
        <w:ind w:firstLine="570"/>
        <w:rPr>
          <w:rFonts w:ascii="宋体" w:hAnsi="宋体" w:cs="宋体"/>
          <w:color w:val="auto"/>
          <w:sz w:val="24"/>
          <w:highlight w:val="none"/>
        </w:rPr>
      </w:pPr>
    </w:p>
    <w:p w14:paraId="27056EC3">
      <w:pPr>
        <w:tabs>
          <w:tab w:val="left" w:pos="6300"/>
        </w:tabs>
        <w:snapToGrid w:val="0"/>
        <w:spacing w:line="500" w:lineRule="exact"/>
        <w:ind w:firstLine="570"/>
        <w:rPr>
          <w:rFonts w:ascii="宋体" w:hAnsi="宋体" w:cs="宋体"/>
          <w:color w:val="auto"/>
          <w:sz w:val="24"/>
          <w:highlight w:val="none"/>
        </w:rPr>
      </w:pPr>
    </w:p>
    <w:p w14:paraId="43917655">
      <w:pPr>
        <w:tabs>
          <w:tab w:val="left" w:pos="6300"/>
        </w:tabs>
        <w:snapToGrid w:val="0"/>
        <w:spacing w:line="500" w:lineRule="exact"/>
        <w:ind w:firstLine="570"/>
        <w:rPr>
          <w:rFonts w:ascii="宋体" w:hAnsi="宋体" w:cs="宋体"/>
          <w:color w:val="auto"/>
          <w:sz w:val="24"/>
          <w:highlight w:val="none"/>
        </w:rPr>
      </w:pPr>
    </w:p>
    <w:p w14:paraId="0B0EEAFD">
      <w:pPr>
        <w:tabs>
          <w:tab w:val="left" w:pos="6300"/>
        </w:tabs>
        <w:snapToGrid w:val="0"/>
        <w:spacing w:line="500" w:lineRule="exact"/>
        <w:ind w:firstLine="570"/>
        <w:rPr>
          <w:rFonts w:ascii="宋体" w:hAnsi="宋体" w:cs="宋体"/>
          <w:color w:val="auto"/>
          <w:sz w:val="24"/>
          <w:highlight w:val="none"/>
        </w:rPr>
      </w:pPr>
    </w:p>
    <w:p w14:paraId="7FFE8D19">
      <w:pPr>
        <w:tabs>
          <w:tab w:val="left" w:pos="6300"/>
        </w:tabs>
        <w:snapToGrid w:val="0"/>
        <w:spacing w:line="500" w:lineRule="exact"/>
        <w:ind w:firstLine="570"/>
        <w:rPr>
          <w:rFonts w:ascii="宋体" w:hAnsi="宋体" w:cs="宋体"/>
          <w:color w:val="auto"/>
          <w:sz w:val="24"/>
          <w:highlight w:val="none"/>
        </w:rPr>
      </w:pPr>
    </w:p>
    <w:p w14:paraId="6E3FBDA1">
      <w:pPr>
        <w:tabs>
          <w:tab w:val="left" w:pos="6300"/>
        </w:tabs>
        <w:snapToGrid w:val="0"/>
        <w:spacing w:line="500" w:lineRule="exact"/>
        <w:ind w:firstLine="570"/>
        <w:rPr>
          <w:rFonts w:ascii="宋体" w:hAnsi="宋体" w:cs="宋体"/>
          <w:color w:val="auto"/>
          <w:sz w:val="24"/>
          <w:highlight w:val="none"/>
        </w:rPr>
      </w:pPr>
    </w:p>
    <w:p w14:paraId="191A2EB5">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2A979D65">
      <w:pPr>
        <w:pStyle w:val="70"/>
        <w:rPr>
          <w:rFonts w:hAnsi="宋体" w:cs="宋体"/>
          <w:color w:val="auto"/>
          <w:highlight w:val="none"/>
        </w:rPr>
      </w:pPr>
      <w:r>
        <w:rPr>
          <w:rFonts w:hint="eastAsia" w:hAnsi="宋体" w:cs="宋体"/>
          <w:color w:val="auto"/>
          <w:highlight w:val="none"/>
        </w:rPr>
        <w:t xml:space="preserve">    </w:t>
      </w:r>
    </w:p>
    <w:p w14:paraId="765B32B0">
      <w:pPr>
        <w:pStyle w:val="70"/>
        <w:rPr>
          <w:color w:val="auto"/>
          <w:highlight w:val="none"/>
        </w:rPr>
      </w:pPr>
      <w:sdt>
        <w:sdtPr>
          <w:rPr>
            <w:rFonts w:hAnsi="宋体"/>
            <w:color w:val="auto"/>
            <w:kern w:val="2"/>
            <w:sz w:val="21"/>
            <w:highlight w:val="none"/>
          </w:rPr>
          <w:id w:val="147452959"/>
          <w:showingPlcHdr/>
          <w15:color w:val="DBDBDB"/>
          <w:docPartObj>
            <w:docPartGallery w:val="Table of Contents"/>
            <w:docPartUnique/>
          </w:docPartObj>
        </w:sdtPr>
        <w:sdtEndPr>
          <w:rPr>
            <w:rFonts w:hAnsi="Times New Roman"/>
            <w:color w:val="auto"/>
            <w:kern w:val="2"/>
            <w:sz w:val="24"/>
            <w:highlight w:val="none"/>
          </w:rPr>
        </w:sdtEndPr>
        <w:sdtContent/>
      </w:sdt>
    </w:p>
    <w:p w14:paraId="482A977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BCEFCCF">
      <w:pPr>
        <w:tabs>
          <w:tab w:val="left" w:pos="6300"/>
        </w:tabs>
        <w:snapToGrid w:val="0"/>
        <w:spacing w:line="500" w:lineRule="exact"/>
        <w:ind w:firstLine="570"/>
        <w:rPr>
          <w:rFonts w:ascii="宋体" w:hAnsi="宋体" w:cs="宋体"/>
          <w:color w:val="auto"/>
          <w:sz w:val="24"/>
          <w:highlight w:val="none"/>
        </w:rPr>
      </w:pPr>
    </w:p>
    <w:p w14:paraId="6FE85EA8">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FE8BBB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78758DC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7F14C2E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30587B08">
      <w:pPr>
        <w:tabs>
          <w:tab w:val="left" w:pos="6300"/>
        </w:tabs>
        <w:snapToGrid w:val="0"/>
        <w:spacing w:line="500" w:lineRule="exact"/>
        <w:ind w:firstLine="570"/>
        <w:rPr>
          <w:rFonts w:ascii="宋体" w:hAnsi="宋体" w:cs="宋体"/>
          <w:color w:val="auto"/>
          <w:sz w:val="24"/>
          <w:highlight w:val="none"/>
        </w:rPr>
      </w:pPr>
    </w:p>
    <w:p w14:paraId="3D23E8B6">
      <w:pPr>
        <w:tabs>
          <w:tab w:val="left" w:pos="6300"/>
        </w:tabs>
        <w:snapToGrid w:val="0"/>
        <w:spacing w:line="500" w:lineRule="exact"/>
        <w:ind w:firstLine="570"/>
        <w:rPr>
          <w:rFonts w:ascii="宋体" w:hAnsi="宋体" w:cs="宋体"/>
          <w:color w:val="auto"/>
          <w:sz w:val="24"/>
          <w:highlight w:val="none"/>
        </w:rPr>
      </w:pPr>
    </w:p>
    <w:p w14:paraId="106DA20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9562E62">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69795FA2">
      <w:pPr>
        <w:tabs>
          <w:tab w:val="left" w:pos="6300"/>
        </w:tabs>
        <w:snapToGrid w:val="0"/>
        <w:spacing w:line="500" w:lineRule="exact"/>
        <w:ind w:firstLine="570"/>
        <w:rPr>
          <w:rFonts w:ascii="宋体" w:hAnsi="宋体" w:cs="宋体"/>
          <w:color w:val="auto"/>
          <w:sz w:val="24"/>
          <w:szCs w:val="28"/>
          <w:highlight w:val="none"/>
        </w:rPr>
      </w:pPr>
    </w:p>
    <w:p w14:paraId="461207E1">
      <w:pPr>
        <w:tabs>
          <w:tab w:val="left" w:pos="6300"/>
        </w:tabs>
        <w:snapToGrid w:val="0"/>
        <w:spacing w:line="500" w:lineRule="exact"/>
        <w:ind w:firstLine="570"/>
        <w:rPr>
          <w:rFonts w:ascii="宋体" w:hAnsi="宋体" w:cs="宋体"/>
          <w:color w:val="auto"/>
          <w:sz w:val="24"/>
          <w:highlight w:val="none"/>
        </w:rPr>
      </w:pPr>
    </w:p>
    <w:p w14:paraId="555E78D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1D02371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0083DA5A">
      <w:pPr>
        <w:tabs>
          <w:tab w:val="left" w:pos="6300"/>
        </w:tabs>
        <w:snapToGrid w:val="0"/>
        <w:spacing w:line="500" w:lineRule="exact"/>
        <w:ind w:firstLine="570"/>
        <w:rPr>
          <w:rFonts w:ascii="宋体" w:hAnsi="宋体" w:cs="宋体"/>
          <w:color w:val="auto"/>
          <w:sz w:val="24"/>
          <w:highlight w:val="none"/>
        </w:rPr>
      </w:pPr>
    </w:p>
    <w:p w14:paraId="52CF8CC9">
      <w:pPr>
        <w:tabs>
          <w:tab w:val="left" w:pos="6300"/>
        </w:tabs>
        <w:snapToGrid w:val="0"/>
        <w:spacing w:line="500" w:lineRule="exact"/>
        <w:ind w:firstLine="570"/>
        <w:rPr>
          <w:rFonts w:ascii="宋体" w:hAnsi="宋体" w:cs="宋体"/>
          <w:color w:val="auto"/>
          <w:sz w:val="24"/>
          <w:highlight w:val="none"/>
        </w:rPr>
      </w:pPr>
    </w:p>
    <w:p w14:paraId="3DE812A0">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0A9BA25F">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3429879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2564A6AD">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15456EE1">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3325D364">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highlight w:val="none"/>
        </w:rPr>
        <w:t xml:space="preserve">   </w:t>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4CFA0E78">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5587B83B">
      <w:pPr>
        <w:tabs>
          <w:tab w:val="left" w:pos="6300"/>
        </w:tabs>
        <w:snapToGrid w:val="0"/>
        <w:spacing w:line="530" w:lineRule="exact"/>
        <w:rPr>
          <w:rFonts w:ascii="宋体" w:hAnsi="宋体" w:cs="宋体"/>
          <w:color w:val="auto"/>
          <w:sz w:val="24"/>
          <w:highlight w:val="none"/>
        </w:rPr>
      </w:pPr>
    </w:p>
    <w:p w14:paraId="7703127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323121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0E5A68C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4B3083B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B3093B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AD3B66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50B8434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346BE6A">
      <w:pPr>
        <w:tabs>
          <w:tab w:val="left" w:pos="6300"/>
        </w:tabs>
        <w:snapToGrid w:val="0"/>
        <w:spacing w:line="500" w:lineRule="exact"/>
        <w:ind w:firstLine="480" w:firstLineChars="200"/>
        <w:rPr>
          <w:rFonts w:ascii="宋体" w:hAnsi="宋体" w:cs="宋体"/>
          <w:color w:val="auto"/>
          <w:sz w:val="24"/>
          <w:highlight w:val="none"/>
        </w:rPr>
      </w:pPr>
    </w:p>
    <w:p w14:paraId="3F0B9D89">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161F74C1">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0EE5DC9E">
      <w:pPr>
        <w:snapToGrid w:val="0"/>
        <w:spacing w:line="400" w:lineRule="exact"/>
        <w:rPr>
          <w:rFonts w:ascii="宋体" w:hAnsi="宋体" w:eastAsia="宋体" w:cs="宋体"/>
          <w:color w:val="auto"/>
          <w:sz w:val="24"/>
          <w:highlight w:val="none"/>
        </w:rPr>
      </w:pPr>
      <w:bookmarkStart w:id="264" w:name="_Toc14422"/>
      <w:r>
        <w:rPr>
          <w:rFonts w:hint="eastAsia" w:ascii="宋体" w:hAnsi="宋体" w:eastAsia="宋体" w:cs="宋体"/>
          <w:b w:val="0"/>
          <w:color w:val="auto"/>
          <w:sz w:val="28"/>
          <w:highlight w:val="none"/>
        </w:rPr>
        <w:br w:type="page"/>
      </w:r>
      <w:bookmarkStart w:id="265" w:name="_Toc23123"/>
      <w:bookmarkStart w:id="266" w:name="_Toc2552"/>
      <w:bookmarkStart w:id="267" w:name="_Toc76462354"/>
      <w:bookmarkStart w:id="268" w:name="_Toc106030910"/>
      <w:bookmarkStart w:id="269" w:name="_Toc23277"/>
      <w:r>
        <w:rPr>
          <w:rFonts w:hint="eastAsia" w:ascii="宋体" w:hAnsi="宋体" w:eastAsia="宋体" w:cs="宋体"/>
          <w:color w:val="auto"/>
          <w:sz w:val="24"/>
          <w:highlight w:val="none"/>
        </w:rPr>
        <w:t>五、其他资料</w:t>
      </w:r>
      <w:bookmarkEnd w:id="264"/>
      <w:bookmarkEnd w:id="265"/>
      <w:bookmarkEnd w:id="266"/>
      <w:bookmarkEnd w:id="267"/>
      <w:bookmarkEnd w:id="268"/>
      <w:bookmarkEnd w:id="269"/>
    </w:p>
    <w:p w14:paraId="4BF2E118">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1D7BE84E">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4F782A1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5026B19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34D6AC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50F58F8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4FED42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1FA9119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7CF61D6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059364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4A31EC48">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312C2DE">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59061DF8">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4835C912">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3473D98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75050B3C">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64D95F0A">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E6B455B">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4EBD45A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09A63EF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06D52A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457A5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3C60D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075F5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F235F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F27D97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C5EF9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360768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93E20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77CCC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74170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051CF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EB633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BD64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38082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left"/>
        <w:textAlignment w:val="auto"/>
        <w:rPr>
          <w:rFonts w:ascii="宋体" w:hAnsi="宋体" w:cs="宋体"/>
          <w:color w:val="auto"/>
          <w:sz w:val="24"/>
          <w:szCs w:val="24"/>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BB711E6">
      <w:pPr>
        <w:tabs>
          <w:tab w:val="left" w:pos="6300"/>
        </w:tabs>
        <w:snapToGrid w:val="0"/>
        <w:spacing w:line="500" w:lineRule="exact"/>
        <w:jc w:val="both"/>
        <w:rPr>
          <w:rFonts w:hint="eastAsia" w:ascii="宋体" w:hAnsi="宋体" w:cs="宋体"/>
          <w:color w:val="auto"/>
          <w:highlight w:val="none"/>
        </w:rPr>
        <w:sectPr>
          <w:headerReference r:id="rId8"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p>
    <w:p w14:paraId="7AA24F53">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14:paraId="3522B8B9">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4E66065E">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cs="宋体"/>
          <w:color w:val="auto"/>
          <w:sz w:val="24"/>
          <w:highlight w:val="none"/>
        </w:rPr>
        <w:br w:type="page"/>
      </w:r>
      <w:r>
        <w:rPr>
          <w:rFonts w:hint="eastAsia" w:ascii="宋体" w:hAnsi="宋体" w:eastAsia="宋体" w:cs="宋体"/>
          <w:color w:val="auto"/>
          <w:highlight w:val="none"/>
        </w:rPr>
        <w:t>残疾人福利性单位声明函</w:t>
      </w:r>
    </w:p>
    <w:p w14:paraId="6453CC2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519C3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8F8C37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274EFC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F869D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06F76A9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DC97B12">
      <w:pPr>
        <w:snapToGrid w:val="0"/>
        <w:spacing w:line="440" w:lineRule="exact"/>
        <w:ind w:firstLine="480" w:firstLineChars="200"/>
        <w:rPr>
          <w:rFonts w:hint="eastAsia" w:ascii="宋体" w:hAnsi="宋体" w:eastAsia="宋体" w:cs="宋体"/>
          <w:color w:val="auto"/>
          <w:sz w:val="24"/>
          <w:highlight w:val="none"/>
        </w:rPr>
      </w:pPr>
    </w:p>
    <w:p w14:paraId="376C32C6">
      <w:pPr>
        <w:snapToGrid w:val="0"/>
        <w:spacing w:line="440" w:lineRule="exact"/>
        <w:ind w:firstLine="480" w:firstLineChars="200"/>
        <w:rPr>
          <w:rFonts w:hint="eastAsia" w:ascii="宋体" w:hAnsi="宋体" w:eastAsia="宋体" w:cs="宋体"/>
          <w:color w:val="auto"/>
          <w:sz w:val="24"/>
          <w:highlight w:val="none"/>
        </w:rPr>
      </w:pPr>
    </w:p>
    <w:p w14:paraId="44445242">
      <w:pPr>
        <w:snapToGrid w:val="0"/>
        <w:spacing w:line="440" w:lineRule="exact"/>
        <w:ind w:firstLine="480" w:firstLineChars="200"/>
        <w:rPr>
          <w:rFonts w:hint="eastAsia" w:ascii="宋体" w:hAnsi="宋体" w:eastAsia="宋体" w:cs="宋体"/>
          <w:color w:val="auto"/>
          <w:sz w:val="24"/>
          <w:highlight w:val="none"/>
        </w:rPr>
      </w:pPr>
    </w:p>
    <w:p w14:paraId="003073A6">
      <w:pPr>
        <w:snapToGrid w:val="0"/>
        <w:spacing w:line="440" w:lineRule="exact"/>
        <w:ind w:firstLine="480" w:firstLineChars="200"/>
        <w:rPr>
          <w:rFonts w:hint="eastAsia" w:ascii="宋体" w:hAnsi="宋体" w:eastAsia="宋体" w:cs="宋体"/>
          <w:color w:val="auto"/>
          <w:sz w:val="24"/>
          <w:highlight w:val="none"/>
        </w:rPr>
      </w:pPr>
    </w:p>
    <w:p w14:paraId="15AB2D1F">
      <w:pPr>
        <w:snapToGrid w:val="0"/>
        <w:spacing w:line="440" w:lineRule="exact"/>
        <w:ind w:firstLine="480" w:firstLineChars="200"/>
        <w:rPr>
          <w:rFonts w:hint="eastAsia" w:ascii="宋体" w:hAnsi="宋体" w:eastAsia="宋体" w:cs="宋体"/>
          <w:color w:val="auto"/>
          <w:sz w:val="24"/>
          <w:highlight w:val="none"/>
        </w:rPr>
      </w:pPr>
    </w:p>
    <w:p w14:paraId="2050BF1B">
      <w:pPr>
        <w:snapToGrid w:val="0"/>
        <w:spacing w:line="440" w:lineRule="exact"/>
        <w:ind w:firstLine="480" w:firstLineChars="200"/>
        <w:rPr>
          <w:rFonts w:hint="eastAsia" w:ascii="宋体" w:hAnsi="宋体" w:eastAsia="宋体" w:cs="宋体"/>
          <w:color w:val="auto"/>
          <w:sz w:val="24"/>
          <w:highlight w:val="none"/>
        </w:rPr>
      </w:pPr>
    </w:p>
    <w:p w14:paraId="580C158F">
      <w:pPr>
        <w:snapToGrid w:val="0"/>
        <w:spacing w:line="440" w:lineRule="exact"/>
        <w:ind w:firstLine="480" w:firstLineChars="200"/>
        <w:rPr>
          <w:rFonts w:hint="eastAsia" w:ascii="宋体" w:hAnsi="宋体" w:eastAsia="宋体" w:cs="宋体"/>
          <w:color w:val="auto"/>
          <w:sz w:val="24"/>
          <w:highlight w:val="none"/>
        </w:rPr>
      </w:pPr>
    </w:p>
    <w:p w14:paraId="31AA39F8">
      <w:pPr>
        <w:snapToGrid w:val="0"/>
        <w:spacing w:line="440" w:lineRule="exact"/>
        <w:ind w:firstLine="480" w:firstLineChars="200"/>
        <w:rPr>
          <w:rFonts w:hint="eastAsia" w:ascii="宋体" w:hAnsi="宋体" w:eastAsia="宋体" w:cs="宋体"/>
          <w:color w:val="auto"/>
          <w:sz w:val="24"/>
          <w:highlight w:val="none"/>
        </w:rPr>
      </w:pPr>
    </w:p>
    <w:p w14:paraId="6A6B3731">
      <w:pPr>
        <w:snapToGrid w:val="0"/>
        <w:spacing w:line="440" w:lineRule="exact"/>
        <w:ind w:firstLine="480" w:firstLineChars="200"/>
        <w:rPr>
          <w:rFonts w:hint="eastAsia" w:ascii="宋体" w:hAnsi="宋体" w:eastAsia="宋体" w:cs="宋体"/>
          <w:color w:val="auto"/>
          <w:sz w:val="24"/>
          <w:highlight w:val="none"/>
        </w:rPr>
      </w:pPr>
    </w:p>
    <w:p w14:paraId="68153EC3">
      <w:pPr>
        <w:snapToGrid w:val="0"/>
        <w:spacing w:line="440" w:lineRule="exact"/>
        <w:ind w:firstLine="480" w:firstLineChars="200"/>
        <w:rPr>
          <w:rFonts w:hint="eastAsia" w:ascii="宋体" w:hAnsi="宋体" w:eastAsia="宋体" w:cs="宋体"/>
          <w:color w:val="auto"/>
          <w:sz w:val="24"/>
          <w:highlight w:val="none"/>
        </w:rPr>
      </w:pPr>
    </w:p>
    <w:p w14:paraId="36E80BB1">
      <w:pPr>
        <w:snapToGrid w:val="0"/>
        <w:spacing w:line="440" w:lineRule="exact"/>
        <w:ind w:firstLine="480" w:firstLineChars="200"/>
        <w:rPr>
          <w:rFonts w:hint="eastAsia" w:ascii="宋体" w:hAnsi="宋体" w:eastAsia="宋体" w:cs="宋体"/>
          <w:color w:val="auto"/>
          <w:sz w:val="24"/>
          <w:highlight w:val="none"/>
        </w:rPr>
      </w:pPr>
    </w:p>
    <w:p w14:paraId="74153DCF">
      <w:pPr>
        <w:snapToGrid w:val="0"/>
        <w:spacing w:line="440" w:lineRule="exact"/>
        <w:ind w:firstLine="480" w:firstLineChars="200"/>
        <w:rPr>
          <w:rFonts w:hint="eastAsia" w:ascii="宋体" w:hAnsi="宋体" w:eastAsia="宋体" w:cs="宋体"/>
          <w:color w:val="auto"/>
          <w:sz w:val="24"/>
          <w:highlight w:val="none"/>
        </w:rPr>
      </w:pPr>
    </w:p>
    <w:p w14:paraId="6082EF1F">
      <w:pPr>
        <w:snapToGrid w:val="0"/>
        <w:spacing w:line="44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0216633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7A69A4B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3D66324D">
      <w:pPr>
        <w:spacing w:line="360" w:lineRule="auto"/>
        <w:ind w:firstLine="480" w:firstLineChars="200"/>
        <w:rPr>
          <w:rFonts w:ascii="宋体" w:hAnsi="宋体" w:cs="宋体"/>
          <w:color w:val="auto"/>
          <w:sz w:val="24"/>
          <w:szCs w:val="24"/>
          <w:highlight w:val="none"/>
        </w:rPr>
      </w:pPr>
    </w:p>
    <w:p w14:paraId="12F79FCB">
      <w:pPr>
        <w:spacing w:line="360" w:lineRule="auto"/>
        <w:ind w:firstLine="480" w:firstLineChars="200"/>
        <w:jc w:val="center"/>
        <w:rPr>
          <w:rFonts w:ascii="宋体" w:hAnsi="宋体" w:cs="宋体"/>
          <w:color w:val="auto"/>
          <w:sz w:val="24"/>
          <w:szCs w:val="24"/>
          <w:highlight w:val="none"/>
        </w:rPr>
      </w:pPr>
    </w:p>
    <w:p w14:paraId="269A817D">
      <w:pPr>
        <w:spacing w:line="360" w:lineRule="auto"/>
        <w:ind w:firstLine="480" w:firstLineChars="200"/>
        <w:jc w:val="center"/>
        <w:rPr>
          <w:rFonts w:ascii="宋体" w:hAnsi="宋体" w:cs="宋体"/>
          <w:color w:val="auto"/>
          <w:sz w:val="24"/>
          <w:szCs w:val="24"/>
          <w:highlight w:val="none"/>
        </w:rPr>
      </w:pPr>
    </w:p>
    <w:p w14:paraId="261B0AF5">
      <w:pPr>
        <w:spacing w:line="360" w:lineRule="auto"/>
        <w:ind w:firstLine="480" w:firstLineChars="200"/>
        <w:jc w:val="center"/>
        <w:rPr>
          <w:rFonts w:ascii="宋体" w:hAnsi="宋体" w:cs="宋体"/>
          <w:color w:val="auto"/>
          <w:sz w:val="24"/>
          <w:szCs w:val="24"/>
          <w:highlight w:val="none"/>
        </w:rPr>
      </w:pPr>
    </w:p>
    <w:p w14:paraId="49DAE1EA">
      <w:pPr>
        <w:spacing w:line="360" w:lineRule="auto"/>
        <w:ind w:firstLine="480" w:firstLineChars="200"/>
        <w:jc w:val="center"/>
        <w:rPr>
          <w:rFonts w:ascii="宋体" w:hAnsi="宋体" w:cs="宋体"/>
          <w:color w:val="auto"/>
          <w:sz w:val="24"/>
          <w:szCs w:val="24"/>
          <w:highlight w:val="none"/>
        </w:rPr>
      </w:pPr>
    </w:p>
    <w:p w14:paraId="594475F8">
      <w:pPr>
        <w:spacing w:line="360" w:lineRule="auto"/>
        <w:ind w:firstLine="480" w:firstLineChars="200"/>
        <w:jc w:val="center"/>
        <w:rPr>
          <w:rFonts w:ascii="宋体" w:hAnsi="宋体" w:cs="宋体"/>
          <w:color w:val="auto"/>
          <w:sz w:val="24"/>
          <w:szCs w:val="24"/>
          <w:highlight w:val="none"/>
        </w:rPr>
      </w:pPr>
    </w:p>
    <w:p w14:paraId="05D78367">
      <w:pPr>
        <w:spacing w:line="360" w:lineRule="auto"/>
        <w:ind w:firstLine="480" w:firstLineChars="200"/>
        <w:jc w:val="center"/>
        <w:rPr>
          <w:rFonts w:ascii="宋体" w:hAnsi="宋体" w:cs="宋体"/>
          <w:color w:val="auto"/>
          <w:sz w:val="24"/>
          <w:szCs w:val="24"/>
          <w:highlight w:val="none"/>
        </w:rPr>
      </w:pPr>
    </w:p>
    <w:p w14:paraId="52CC5A63">
      <w:pPr>
        <w:spacing w:line="360" w:lineRule="auto"/>
        <w:ind w:firstLine="480" w:firstLineChars="200"/>
        <w:jc w:val="center"/>
        <w:rPr>
          <w:rFonts w:ascii="宋体" w:hAnsi="宋体" w:cs="宋体"/>
          <w:color w:val="auto"/>
          <w:sz w:val="24"/>
          <w:szCs w:val="24"/>
          <w:highlight w:val="none"/>
        </w:rPr>
      </w:pPr>
    </w:p>
    <w:p w14:paraId="0B3D75FD">
      <w:pPr>
        <w:spacing w:line="360" w:lineRule="auto"/>
        <w:ind w:firstLine="480" w:firstLineChars="200"/>
        <w:jc w:val="center"/>
        <w:rPr>
          <w:rFonts w:ascii="宋体" w:hAnsi="宋体" w:cs="宋体"/>
          <w:color w:val="auto"/>
          <w:sz w:val="24"/>
          <w:szCs w:val="24"/>
          <w:highlight w:val="none"/>
        </w:rPr>
      </w:pPr>
    </w:p>
    <w:p w14:paraId="55ADC258">
      <w:pPr>
        <w:spacing w:line="360" w:lineRule="auto"/>
        <w:ind w:firstLine="480" w:firstLineChars="200"/>
        <w:jc w:val="center"/>
        <w:rPr>
          <w:rFonts w:ascii="宋体" w:hAnsi="宋体" w:cs="宋体"/>
          <w:color w:val="auto"/>
          <w:sz w:val="24"/>
          <w:szCs w:val="24"/>
          <w:highlight w:val="none"/>
        </w:rPr>
      </w:pPr>
    </w:p>
    <w:p w14:paraId="4882E46D">
      <w:pPr>
        <w:spacing w:line="360" w:lineRule="auto"/>
        <w:ind w:firstLine="480" w:firstLineChars="200"/>
        <w:jc w:val="center"/>
        <w:rPr>
          <w:rFonts w:ascii="宋体" w:hAnsi="宋体" w:cs="宋体"/>
          <w:color w:val="auto"/>
          <w:sz w:val="24"/>
          <w:szCs w:val="24"/>
          <w:highlight w:val="none"/>
        </w:rPr>
      </w:pPr>
    </w:p>
    <w:p w14:paraId="43A7D18E">
      <w:pPr>
        <w:spacing w:line="360" w:lineRule="auto"/>
        <w:ind w:firstLine="480" w:firstLineChars="200"/>
        <w:jc w:val="center"/>
        <w:rPr>
          <w:rFonts w:ascii="宋体" w:hAnsi="宋体" w:cs="宋体"/>
          <w:color w:val="auto"/>
          <w:sz w:val="24"/>
          <w:szCs w:val="24"/>
          <w:highlight w:val="none"/>
        </w:rPr>
      </w:pPr>
    </w:p>
    <w:p w14:paraId="4385E780">
      <w:pPr>
        <w:spacing w:line="360" w:lineRule="auto"/>
        <w:ind w:firstLine="480" w:firstLineChars="200"/>
        <w:jc w:val="center"/>
        <w:outlineLvl w:val="9"/>
        <w:rPr>
          <w:rFonts w:ascii="宋体" w:hAnsi="宋体" w:cs="宋体"/>
          <w:color w:val="auto"/>
          <w:highlight w:val="none"/>
        </w:rPr>
      </w:pPr>
      <w:bookmarkStart w:id="270" w:name="_Toc3407"/>
      <w:r>
        <w:rPr>
          <w:rFonts w:hint="eastAsia" w:ascii="宋体" w:hAnsi="宋体" w:cs="宋体"/>
          <w:color w:val="auto"/>
          <w:sz w:val="24"/>
          <w:szCs w:val="24"/>
          <w:highlight w:val="none"/>
        </w:rPr>
        <w:t>（结束）</w:t>
      </w:r>
      <w:bookmarkEnd w:id="270"/>
    </w:p>
    <w:p w14:paraId="0461B4FC">
      <w:pPr>
        <w:tabs>
          <w:tab w:val="left" w:pos="6300"/>
        </w:tabs>
        <w:snapToGrid w:val="0"/>
        <w:spacing w:line="500" w:lineRule="exact"/>
        <w:ind w:firstLine="4560" w:firstLineChars="1900"/>
        <w:rPr>
          <w:rFonts w:ascii="宋体" w:hAnsi="宋体" w:cs="宋体"/>
          <w:color w:val="auto"/>
          <w:sz w:val="24"/>
          <w:szCs w:val="24"/>
          <w:highlight w:val="none"/>
        </w:rPr>
      </w:pPr>
    </w:p>
    <w:p w14:paraId="0B184853">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31E1AF96">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7CDA794F">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5FC7388E">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64A9BBE1">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59D69EF1">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768C8B08">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bookmarkEnd w:id="247"/>
    <w:bookmarkEnd w:id="248"/>
    <w:bookmarkEnd w:id="249"/>
    <w:bookmarkEnd w:id="259"/>
    <w:bookmarkEnd w:id="260"/>
    <w:bookmarkEnd w:id="261"/>
    <w:bookmarkEnd w:id="262"/>
    <w:bookmarkEnd w:id="263"/>
    <w:p w14:paraId="58E33478">
      <w:pPr>
        <w:spacing w:line="360" w:lineRule="auto"/>
        <w:ind w:firstLine="480" w:firstLineChars="200"/>
        <w:jc w:val="center"/>
        <w:rPr>
          <w:rFonts w:ascii="方正仿宋_GBK" w:hAnsi="宋体" w:eastAsia="方正仿宋_GBK"/>
          <w:color w:val="auto"/>
          <w:sz w:val="24"/>
          <w:szCs w:val="24"/>
          <w:highlight w:val="none"/>
        </w:rPr>
      </w:pPr>
    </w:p>
    <w:p w14:paraId="7C41B754">
      <w:pPr>
        <w:tabs>
          <w:tab w:val="left" w:pos="6300"/>
        </w:tabs>
        <w:snapToGrid w:val="0"/>
        <w:spacing w:line="500" w:lineRule="exact"/>
        <w:jc w:val="center"/>
        <w:rPr>
          <w:b/>
          <w:color w:val="auto"/>
          <w:sz w:val="24"/>
          <w:szCs w:val="24"/>
          <w:highlight w:val="none"/>
        </w:rPr>
      </w:pPr>
    </w:p>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B3BC">
    <w:pPr>
      <w:pStyle w:val="37"/>
      <w:framePr w:wrap="around" w:vAnchor="text" w:hAnchor="margin" w:xAlign="center" w:y="1"/>
      <w:jc w:val="center"/>
      <w:rPr>
        <w:rStyle w:val="64"/>
        <w:rFonts w:ascii="宋体"/>
        <w:sz w:val="21"/>
        <w:szCs w:val="21"/>
      </w:rPr>
    </w:pPr>
    <w:r>
      <w:rPr>
        <w:rStyle w:val="64"/>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288A473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3557">
    <w:pPr>
      <w:pStyle w:val="37"/>
      <w:jc w:val="center"/>
      <w:rPr>
        <w:rFonts w:ascii="宋体"/>
        <w:sz w:val="21"/>
        <w:szCs w:val="21"/>
      </w:rPr>
    </w:pPr>
    <w:r>
      <w:rPr>
        <w:rStyle w:val="64"/>
      </w:rPr>
      <w:fldChar w:fldCharType="begin"/>
    </w:r>
    <w:r>
      <w:rPr>
        <w:rStyle w:val="64"/>
        <w:rFonts w:ascii="宋体"/>
        <w:sz w:val="21"/>
        <w:szCs w:val="21"/>
      </w:rPr>
      <w:instrText xml:space="preserve"> PAGE </w:instrText>
    </w:r>
    <w:r>
      <w:rPr>
        <w:rFonts w:ascii="宋体"/>
        <w:sz w:val="21"/>
        <w:szCs w:val="21"/>
      </w:rPr>
      <w:fldChar w:fldCharType="separate"/>
    </w:r>
    <w:r>
      <w:rPr>
        <w:rStyle w:val="64"/>
        <w:rFonts w:ascii="宋体"/>
        <w:sz w:val="21"/>
        <w:szCs w:val="21"/>
      </w:rPr>
      <w:t>- 25 -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C419">
    <w:pPr>
      <w:pStyle w:val="37"/>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98757">
                          <w:pPr>
                            <w:pStyle w:val="37"/>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26498757">
                    <w:pPr>
                      <w:pStyle w:val="3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219F">
    <w:pPr>
      <w:pStyle w:val="38"/>
      <w:jc w:val="both"/>
      <w:rPr>
        <w:rFonts w:ascii="宋体"/>
        <w:sz w:val="21"/>
        <w:szCs w:val="21"/>
      </w:rPr>
    </w:pPr>
    <w:r>
      <w:rPr>
        <w:rFonts w:hint="eastAsia" w:ascii="宋体"/>
        <w:sz w:val="21"/>
        <w:szCs w:val="21"/>
      </w:rPr>
      <w:t>重庆市无线电监测站2024年度干部综合素质能力提升专题培训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1DFC">
    <w:pPr>
      <w:pStyle w:val="38"/>
      <w:jc w:val="left"/>
      <w:rPr>
        <w:rFonts w:ascii="宋体"/>
        <w:sz w:val="21"/>
        <w:szCs w:val="21"/>
      </w:rPr>
    </w:pPr>
    <w:r>
      <w:rPr>
        <w:rFonts w:hint="eastAsia" w:ascii="宋体"/>
        <w:sz w:val="21"/>
        <w:szCs w:val="21"/>
      </w:rPr>
      <w:t>重庆市无线电监测站2024年度干部综合素质能力提升专题培训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8798">
    <w:pPr>
      <w:pStyle w:val="38"/>
      <w:jc w:val="left"/>
      <w:rPr>
        <w:rFonts w:ascii="宋体"/>
        <w:sz w:val="21"/>
        <w:szCs w:val="21"/>
      </w:rPr>
    </w:pPr>
    <w:r>
      <w:rPr>
        <w:rFonts w:hint="eastAsia" w:ascii="宋体"/>
        <w:sz w:val="21"/>
        <w:szCs w:val="21"/>
      </w:rPr>
      <w:t>重庆市无线电监测站2024年度干部综合素质能力提升专题培训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C9638"/>
    <w:multiLevelType w:val="singleLevel"/>
    <w:tmpl w:val="D05C9638"/>
    <w:lvl w:ilvl="0" w:tentative="0">
      <w:start w:val="3"/>
      <w:numFmt w:val="chineseCounting"/>
      <w:suff w:val="nothing"/>
      <w:lvlText w:val="（%1）"/>
      <w:lvlJc w:val="left"/>
      <w:rPr>
        <w:rFonts w:hint="eastAsia"/>
      </w:rPr>
    </w:lvl>
  </w:abstractNum>
  <w:abstractNum w:abstractNumId="1">
    <w:nsid w:val="D12EC934"/>
    <w:multiLevelType w:val="singleLevel"/>
    <w:tmpl w:val="D12EC934"/>
    <w:lvl w:ilvl="0" w:tentative="0">
      <w:start w:val="2"/>
      <w:numFmt w:val="chineseCounting"/>
      <w:suff w:val="nothing"/>
      <w:lvlText w:val="（%1）"/>
      <w:lvlJc w:val="left"/>
      <w:rPr>
        <w:rFonts w:hint="eastAsia"/>
      </w:rPr>
    </w:lvl>
  </w:abstractNum>
  <w:abstractNum w:abstractNumId="2">
    <w:nsid w:val="F96E9B05"/>
    <w:multiLevelType w:val="singleLevel"/>
    <w:tmpl w:val="F96E9B05"/>
    <w:lvl w:ilvl="0" w:tentative="0">
      <w:start w:val="3"/>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6">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9">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12">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4">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11"/>
  </w:num>
  <w:num w:numId="2">
    <w:abstractNumId w:val="12"/>
  </w:num>
  <w:num w:numId="3">
    <w:abstractNumId w:val="15"/>
  </w:num>
  <w:num w:numId="4">
    <w:abstractNumId w:val="6"/>
  </w:num>
  <w:num w:numId="5">
    <w:abstractNumId w:val="7"/>
  </w:num>
  <w:num w:numId="6">
    <w:abstractNumId w:val="3"/>
  </w:num>
  <w:num w:numId="7">
    <w:abstractNumId w:val="10"/>
  </w:num>
  <w:num w:numId="8">
    <w:abstractNumId w:val="13"/>
  </w:num>
  <w:num w:numId="9">
    <w:abstractNumId w:val="14"/>
  </w:num>
  <w:num w:numId="10">
    <w:abstractNumId w:val="9"/>
  </w:num>
  <w:num w:numId="11">
    <w:abstractNumId w:val="4"/>
  </w:num>
  <w:num w:numId="12">
    <w:abstractNumId w:val="8"/>
  </w:num>
  <w:num w:numId="13">
    <w:abstractNumId w:val="5"/>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ZWU2NzM3NGQ3NWExMjM4ODQzNjQzODdhYmIxZmEifQ=="/>
    <w:docVar w:name="KSO_WPS_MARK_KEY" w:val="3e85dc42-89ad-4778-bc34-490b29bce9a4"/>
  </w:docVars>
  <w:rsids>
    <w:rsidRoot w:val="00F8011D"/>
    <w:rsid w:val="000108DE"/>
    <w:rsid w:val="00034929"/>
    <w:rsid w:val="00054EF5"/>
    <w:rsid w:val="00062E11"/>
    <w:rsid w:val="00084D4B"/>
    <w:rsid w:val="000C3F62"/>
    <w:rsid w:val="000D42EF"/>
    <w:rsid w:val="000D59D1"/>
    <w:rsid w:val="000F3295"/>
    <w:rsid w:val="00101DB4"/>
    <w:rsid w:val="001A191A"/>
    <w:rsid w:val="00277829"/>
    <w:rsid w:val="00294BB4"/>
    <w:rsid w:val="002F3517"/>
    <w:rsid w:val="00344AA5"/>
    <w:rsid w:val="0039025E"/>
    <w:rsid w:val="003D5133"/>
    <w:rsid w:val="00441CBC"/>
    <w:rsid w:val="00442CEE"/>
    <w:rsid w:val="00447EA7"/>
    <w:rsid w:val="004836D7"/>
    <w:rsid w:val="004A1A32"/>
    <w:rsid w:val="004A324A"/>
    <w:rsid w:val="004B273F"/>
    <w:rsid w:val="00554A0B"/>
    <w:rsid w:val="005736AE"/>
    <w:rsid w:val="005745AF"/>
    <w:rsid w:val="005E4A50"/>
    <w:rsid w:val="00622DF1"/>
    <w:rsid w:val="006333A7"/>
    <w:rsid w:val="006604D3"/>
    <w:rsid w:val="00675042"/>
    <w:rsid w:val="00691E8A"/>
    <w:rsid w:val="006A0C7A"/>
    <w:rsid w:val="006D026E"/>
    <w:rsid w:val="006D7141"/>
    <w:rsid w:val="006E2E08"/>
    <w:rsid w:val="007004B1"/>
    <w:rsid w:val="00716980"/>
    <w:rsid w:val="0072772D"/>
    <w:rsid w:val="00737D6C"/>
    <w:rsid w:val="00742BD7"/>
    <w:rsid w:val="00757475"/>
    <w:rsid w:val="00786E48"/>
    <w:rsid w:val="00794B4B"/>
    <w:rsid w:val="00795CF2"/>
    <w:rsid w:val="00816D09"/>
    <w:rsid w:val="008253E3"/>
    <w:rsid w:val="00833DB3"/>
    <w:rsid w:val="00853014"/>
    <w:rsid w:val="00882AB5"/>
    <w:rsid w:val="008931F6"/>
    <w:rsid w:val="0089453D"/>
    <w:rsid w:val="008B528C"/>
    <w:rsid w:val="008E26E4"/>
    <w:rsid w:val="009041AF"/>
    <w:rsid w:val="009070ED"/>
    <w:rsid w:val="00913A85"/>
    <w:rsid w:val="009669EE"/>
    <w:rsid w:val="00974E4D"/>
    <w:rsid w:val="00994564"/>
    <w:rsid w:val="009B3A7F"/>
    <w:rsid w:val="009B3E42"/>
    <w:rsid w:val="009C4919"/>
    <w:rsid w:val="009C608A"/>
    <w:rsid w:val="009D1EE6"/>
    <w:rsid w:val="009D6D89"/>
    <w:rsid w:val="009E3970"/>
    <w:rsid w:val="00A06BA6"/>
    <w:rsid w:val="00A21936"/>
    <w:rsid w:val="00A4389B"/>
    <w:rsid w:val="00A804D7"/>
    <w:rsid w:val="00A96BDF"/>
    <w:rsid w:val="00AB2E55"/>
    <w:rsid w:val="00AD0C16"/>
    <w:rsid w:val="00AD7BFE"/>
    <w:rsid w:val="00AE035A"/>
    <w:rsid w:val="00AF7D3F"/>
    <w:rsid w:val="00B07D65"/>
    <w:rsid w:val="00B421B9"/>
    <w:rsid w:val="00B46A4F"/>
    <w:rsid w:val="00B47708"/>
    <w:rsid w:val="00B51D7C"/>
    <w:rsid w:val="00B81A19"/>
    <w:rsid w:val="00B84D50"/>
    <w:rsid w:val="00BA0E0A"/>
    <w:rsid w:val="00BA36B0"/>
    <w:rsid w:val="00BD50C6"/>
    <w:rsid w:val="00C00677"/>
    <w:rsid w:val="00C0322D"/>
    <w:rsid w:val="00C45969"/>
    <w:rsid w:val="00C5265E"/>
    <w:rsid w:val="00C80F50"/>
    <w:rsid w:val="00C94049"/>
    <w:rsid w:val="00CA1E91"/>
    <w:rsid w:val="00CA52BA"/>
    <w:rsid w:val="00D462B6"/>
    <w:rsid w:val="00D51519"/>
    <w:rsid w:val="00DF0B6F"/>
    <w:rsid w:val="00E2336F"/>
    <w:rsid w:val="00E33900"/>
    <w:rsid w:val="00E41D23"/>
    <w:rsid w:val="00EB17C6"/>
    <w:rsid w:val="00EC4C8E"/>
    <w:rsid w:val="00ED5F76"/>
    <w:rsid w:val="00F37B97"/>
    <w:rsid w:val="00F476F0"/>
    <w:rsid w:val="00F53E99"/>
    <w:rsid w:val="00F8011D"/>
    <w:rsid w:val="00F95995"/>
    <w:rsid w:val="00FE13B7"/>
    <w:rsid w:val="00FF185F"/>
    <w:rsid w:val="014855E1"/>
    <w:rsid w:val="01873257"/>
    <w:rsid w:val="01BD6429"/>
    <w:rsid w:val="0200793B"/>
    <w:rsid w:val="023D66C9"/>
    <w:rsid w:val="02555ED9"/>
    <w:rsid w:val="02C60B85"/>
    <w:rsid w:val="02EA1AAE"/>
    <w:rsid w:val="034D4ED4"/>
    <w:rsid w:val="03D74055"/>
    <w:rsid w:val="04123E6B"/>
    <w:rsid w:val="04293179"/>
    <w:rsid w:val="04351B1E"/>
    <w:rsid w:val="04652262"/>
    <w:rsid w:val="04E80C82"/>
    <w:rsid w:val="0575430D"/>
    <w:rsid w:val="05790181"/>
    <w:rsid w:val="05C70CD7"/>
    <w:rsid w:val="05DE28CB"/>
    <w:rsid w:val="05E40404"/>
    <w:rsid w:val="0602694A"/>
    <w:rsid w:val="0616597F"/>
    <w:rsid w:val="064C2747"/>
    <w:rsid w:val="068D470D"/>
    <w:rsid w:val="068F6BE5"/>
    <w:rsid w:val="06924AD0"/>
    <w:rsid w:val="06930D7E"/>
    <w:rsid w:val="071F4BF0"/>
    <w:rsid w:val="07FA0002"/>
    <w:rsid w:val="08053CB5"/>
    <w:rsid w:val="086E1AA3"/>
    <w:rsid w:val="08975368"/>
    <w:rsid w:val="08A70B11"/>
    <w:rsid w:val="08BF22FE"/>
    <w:rsid w:val="09151F1E"/>
    <w:rsid w:val="098F7F23"/>
    <w:rsid w:val="09E902BD"/>
    <w:rsid w:val="0A3F535C"/>
    <w:rsid w:val="0A416D71"/>
    <w:rsid w:val="0AF070C1"/>
    <w:rsid w:val="0B2527F9"/>
    <w:rsid w:val="0B61769D"/>
    <w:rsid w:val="0B641412"/>
    <w:rsid w:val="0C334747"/>
    <w:rsid w:val="0C6B65BE"/>
    <w:rsid w:val="0CB13E51"/>
    <w:rsid w:val="0EE56FAB"/>
    <w:rsid w:val="0F532AB2"/>
    <w:rsid w:val="0F637C9A"/>
    <w:rsid w:val="0F8762DA"/>
    <w:rsid w:val="102C5496"/>
    <w:rsid w:val="112D077D"/>
    <w:rsid w:val="11447845"/>
    <w:rsid w:val="12591E14"/>
    <w:rsid w:val="13286D56"/>
    <w:rsid w:val="135D4BEE"/>
    <w:rsid w:val="13E9069D"/>
    <w:rsid w:val="143C0CA7"/>
    <w:rsid w:val="14B95F3B"/>
    <w:rsid w:val="15113EE2"/>
    <w:rsid w:val="1566735E"/>
    <w:rsid w:val="15A9411A"/>
    <w:rsid w:val="16C92B24"/>
    <w:rsid w:val="174C1758"/>
    <w:rsid w:val="175C5BC1"/>
    <w:rsid w:val="17F51899"/>
    <w:rsid w:val="18040789"/>
    <w:rsid w:val="18090EA0"/>
    <w:rsid w:val="1838257F"/>
    <w:rsid w:val="184615C1"/>
    <w:rsid w:val="18B352B0"/>
    <w:rsid w:val="18C7014D"/>
    <w:rsid w:val="19143FA0"/>
    <w:rsid w:val="199926F8"/>
    <w:rsid w:val="19BC0BC4"/>
    <w:rsid w:val="19E04DC1"/>
    <w:rsid w:val="1AB0025A"/>
    <w:rsid w:val="1ADF676A"/>
    <w:rsid w:val="1B0071E4"/>
    <w:rsid w:val="1B542D7A"/>
    <w:rsid w:val="1BAB04C0"/>
    <w:rsid w:val="1C5D4A3C"/>
    <w:rsid w:val="1C84502F"/>
    <w:rsid w:val="1D526E45"/>
    <w:rsid w:val="1D8F1E47"/>
    <w:rsid w:val="1DE81558"/>
    <w:rsid w:val="1DF919B7"/>
    <w:rsid w:val="1E1A6FFA"/>
    <w:rsid w:val="1E5D02B7"/>
    <w:rsid w:val="1E6502D1"/>
    <w:rsid w:val="1E7D0317"/>
    <w:rsid w:val="1EEB1F60"/>
    <w:rsid w:val="1F385B09"/>
    <w:rsid w:val="1FA15027"/>
    <w:rsid w:val="203227DF"/>
    <w:rsid w:val="20325280"/>
    <w:rsid w:val="207E15C3"/>
    <w:rsid w:val="20C40F70"/>
    <w:rsid w:val="20EF2BFD"/>
    <w:rsid w:val="214E3DC8"/>
    <w:rsid w:val="21A32365"/>
    <w:rsid w:val="21E36C06"/>
    <w:rsid w:val="2203498B"/>
    <w:rsid w:val="222339F7"/>
    <w:rsid w:val="22561186"/>
    <w:rsid w:val="227301D5"/>
    <w:rsid w:val="22CA745B"/>
    <w:rsid w:val="22FA693D"/>
    <w:rsid w:val="2305495A"/>
    <w:rsid w:val="23B62533"/>
    <w:rsid w:val="24015121"/>
    <w:rsid w:val="240933E2"/>
    <w:rsid w:val="244D0366"/>
    <w:rsid w:val="249A7467"/>
    <w:rsid w:val="25803067"/>
    <w:rsid w:val="25855D8A"/>
    <w:rsid w:val="259D531E"/>
    <w:rsid w:val="269229A8"/>
    <w:rsid w:val="26AB6FD3"/>
    <w:rsid w:val="26EB3105"/>
    <w:rsid w:val="27127645"/>
    <w:rsid w:val="27284ECD"/>
    <w:rsid w:val="27361586"/>
    <w:rsid w:val="27B85944"/>
    <w:rsid w:val="283A50A6"/>
    <w:rsid w:val="28B575B7"/>
    <w:rsid w:val="29080D00"/>
    <w:rsid w:val="296E6328"/>
    <w:rsid w:val="29B66771"/>
    <w:rsid w:val="29BF1D06"/>
    <w:rsid w:val="2A196B34"/>
    <w:rsid w:val="2A50295E"/>
    <w:rsid w:val="2A556B5D"/>
    <w:rsid w:val="2AB96756"/>
    <w:rsid w:val="2B245EEB"/>
    <w:rsid w:val="2B496BF1"/>
    <w:rsid w:val="2BD93835"/>
    <w:rsid w:val="2CD26DE1"/>
    <w:rsid w:val="2DD815E9"/>
    <w:rsid w:val="2E006963"/>
    <w:rsid w:val="2E144AF5"/>
    <w:rsid w:val="2E556795"/>
    <w:rsid w:val="2EAE36E8"/>
    <w:rsid w:val="2EE759AB"/>
    <w:rsid w:val="2EF57F78"/>
    <w:rsid w:val="2F2D05FC"/>
    <w:rsid w:val="2F873365"/>
    <w:rsid w:val="2FCE55B5"/>
    <w:rsid w:val="300A55D1"/>
    <w:rsid w:val="30221655"/>
    <w:rsid w:val="305A6B4F"/>
    <w:rsid w:val="306A57C0"/>
    <w:rsid w:val="309260EA"/>
    <w:rsid w:val="30D342E9"/>
    <w:rsid w:val="30DC38C3"/>
    <w:rsid w:val="30EE1123"/>
    <w:rsid w:val="31301566"/>
    <w:rsid w:val="31632EEA"/>
    <w:rsid w:val="31732D9D"/>
    <w:rsid w:val="31CE1B07"/>
    <w:rsid w:val="31FD7650"/>
    <w:rsid w:val="32683060"/>
    <w:rsid w:val="32825583"/>
    <w:rsid w:val="336762D8"/>
    <w:rsid w:val="33CA7C52"/>
    <w:rsid w:val="33E44669"/>
    <w:rsid w:val="341C1B03"/>
    <w:rsid w:val="3490711A"/>
    <w:rsid w:val="34A843EE"/>
    <w:rsid w:val="351A1233"/>
    <w:rsid w:val="357034B5"/>
    <w:rsid w:val="35726644"/>
    <w:rsid w:val="35A71B21"/>
    <w:rsid w:val="35FD7A84"/>
    <w:rsid w:val="36077997"/>
    <w:rsid w:val="36140CE4"/>
    <w:rsid w:val="36156BBB"/>
    <w:rsid w:val="36363350"/>
    <w:rsid w:val="364D41F6"/>
    <w:rsid w:val="36F822C6"/>
    <w:rsid w:val="37A61E10"/>
    <w:rsid w:val="37D20230"/>
    <w:rsid w:val="380D1E8F"/>
    <w:rsid w:val="389044E9"/>
    <w:rsid w:val="38E33EF7"/>
    <w:rsid w:val="38F43041"/>
    <w:rsid w:val="390C2146"/>
    <w:rsid w:val="394709FF"/>
    <w:rsid w:val="39495149"/>
    <w:rsid w:val="398817DE"/>
    <w:rsid w:val="39A9208B"/>
    <w:rsid w:val="3A7B609F"/>
    <w:rsid w:val="3AC2225A"/>
    <w:rsid w:val="3B135AA1"/>
    <w:rsid w:val="3B3F1A56"/>
    <w:rsid w:val="3B83501A"/>
    <w:rsid w:val="3BC276EB"/>
    <w:rsid w:val="3C5938F5"/>
    <w:rsid w:val="3C81185B"/>
    <w:rsid w:val="3C9B295A"/>
    <w:rsid w:val="3D0C6BB9"/>
    <w:rsid w:val="3D3B3C1C"/>
    <w:rsid w:val="3D400A77"/>
    <w:rsid w:val="3DE10046"/>
    <w:rsid w:val="3E574F0E"/>
    <w:rsid w:val="3E5D14F2"/>
    <w:rsid w:val="3E87373D"/>
    <w:rsid w:val="3EB05C6A"/>
    <w:rsid w:val="3F345DC4"/>
    <w:rsid w:val="3F477DB9"/>
    <w:rsid w:val="3F542A99"/>
    <w:rsid w:val="3F7F666B"/>
    <w:rsid w:val="3FA97E46"/>
    <w:rsid w:val="3FAA26B9"/>
    <w:rsid w:val="40050F5F"/>
    <w:rsid w:val="40375196"/>
    <w:rsid w:val="4080278D"/>
    <w:rsid w:val="40E90FBF"/>
    <w:rsid w:val="40F2256A"/>
    <w:rsid w:val="417C2AF7"/>
    <w:rsid w:val="41983EDE"/>
    <w:rsid w:val="423A6D1A"/>
    <w:rsid w:val="42921370"/>
    <w:rsid w:val="42C1786D"/>
    <w:rsid w:val="42FF028A"/>
    <w:rsid w:val="431247FD"/>
    <w:rsid w:val="43775BA3"/>
    <w:rsid w:val="438C543B"/>
    <w:rsid w:val="43996CCD"/>
    <w:rsid w:val="43C70CA9"/>
    <w:rsid w:val="43DA0ECB"/>
    <w:rsid w:val="446E3716"/>
    <w:rsid w:val="44D373DA"/>
    <w:rsid w:val="44E001FA"/>
    <w:rsid w:val="45EF0E26"/>
    <w:rsid w:val="46215A07"/>
    <w:rsid w:val="465F4009"/>
    <w:rsid w:val="469A3487"/>
    <w:rsid w:val="46AC0AE5"/>
    <w:rsid w:val="46AE2A8F"/>
    <w:rsid w:val="47213261"/>
    <w:rsid w:val="479D1E00"/>
    <w:rsid w:val="47BB0949"/>
    <w:rsid w:val="47F01453"/>
    <w:rsid w:val="480C1C24"/>
    <w:rsid w:val="48141018"/>
    <w:rsid w:val="48961A2D"/>
    <w:rsid w:val="491A4F45"/>
    <w:rsid w:val="49F32A71"/>
    <w:rsid w:val="4A275355"/>
    <w:rsid w:val="4A376DCF"/>
    <w:rsid w:val="4A7E6C1C"/>
    <w:rsid w:val="4AE302A8"/>
    <w:rsid w:val="4B491961"/>
    <w:rsid w:val="4B9233E7"/>
    <w:rsid w:val="4C15710C"/>
    <w:rsid w:val="4C690CD4"/>
    <w:rsid w:val="4CB719C0"/>
    <w:rsid w:val="4DC77914"/>
    <w:rsid w:val="4DE33966"/>
    <w:rsid w:val="4DEC3685"/>
    <w:rsid w:val="4DF35A4B"/>
    <w:rsid w:val="4E233D62"/>
    <w:rsid w:val="4E302968"/>
    <w:rsid w:val="4E6B74B7"/>
    <w:rsid w:val="4E7860AE"/>
    <w:rsid w:val="4EA11120"/>
    <w:rsid w:val="4ECC2160"/>
    <w:rsid w:val="4EDB21A2"/>
    <w:rsid w:val="4FA113E3"/>
    <w:rsid w:val="4FA12238"/>
    <w:rsid w:val="51D72D57"/>
    <w:rsid w:val="51F3621E"/>
    <w:rsid w:val="52211574"/>
    <w:rsid w:val="5294576A"/>
    <w:rsid w:val="529A1B01"/>
    <w:rsid w:val="52E95517"/>
    <w:rsid w:val="54255290"/>
    <w:rsid w:val="549C6A3A"/>
    <w:rsid w:val="54B73456"/>
    <w:rsid w:val="54E0475B"/>
    <w:rsid w:val="550541C2"/>
    <w:rsid w:val="56410322"/>
    <w:rsid w:val="566C201F"/>
    <w:rsid w:val="56D227CA"/>
    <w:rsid w:val="577D1B50"/>
    <w:rsid w:val="57877110"/>
    <w:rsid w:val="581F60F1"/>
    <w:rsid w:val="58782EFD"/>
    <w:rsid w:val="588D77A9"/>
    <w:rsid w:val="589B75A6"/>
    <w:rsid w:val="58C15116"/>
    <w:rsid w:val="5A8E2EAB"/>
    <w:rsid w:val="5AEB0873"/>
    <w:rsid w:val="5BD56184"/>
    <w:rsid w:val="5BF02B01"/>
    <w:rsid w:val="5BF4247D"/>
    <w:rsid w:val="5C5A37CC"/>
    <w:rsid w:val="5CAC7619"/>
    <w:rsid w:val="5D116416"/>
    <w:rsid w:val="5D123920"/>
    <w:rsid w:val="5D2378DB"/>
    <w:rsid w:val="5D7E0D39"/>
    <w:rsid w:val="5E481638"/>
    <w:rsid w:val="5EE91C97"/>
    <w:rsid w:val="5F160083"/>
    <w:rsid w:val="5FA41CF6"/>
    <w:rsid w:val="5FC33717"/>
    <w:rsid w:val="5FD628EA"/>
    <w:rsid w:val="5FE570CA"/>
    <w:rsid w:val="60555FCF"/>
    <w:rsid w:val="60876DF0"/>
    <w:rsid w:val="608E53F7"/>
    <w:rsid w:val="60B3541A"/>
    <w:rsid w:val="60F465F9"/>
    <w:rsid w:val="610A4967"/>
    <w:rsid w:val="61585C3E"/>
    <w:rsid w:val="619C5942"/>
    <w:rsid w:val="62B45691"/>
    <w:rsid w:val="62F85366"/>
    <w:rsid w:val="632E6FDA"/>
    <w:rsid w:val="63435081"/>
    <w:rsid w:val="63DB16D9"/>
    <w:rsid w:val="63EE0517"/>
    <w:rsid w:val="641B6B36"/>
    <w:rsid w:val="643C5FDE"/>
    <w:rsid w:val="64550596"/>
    <w:rsid w:val="646638E3"/>
    <w:rsid w:val="651D2147"/>
    <w:rsid w:val="6550033E"/>
    <w:rsid w:val="6647639F"/>
    <w:rsid w:val="669453A6"/>
    <w:rsid w:val="66CC5997"/>
    <w:rsid w:val="66DB61AD"/>
    <w:rsid w:val="66F80E6B"/>
    <w:rsid w:val="672101E2"/>
    <w:rsid w:val="67460E0B"/>
    <w:rsid w:val="675D7E8D"/>
    <w:rsid w:val="67850B36"/>
    <w:rsid w:val="67917B37"/>
    <w:rsid w:val="67E20393"/>
    <w:rsid w:val="68072C52"/>
    <w:rsid w:val="68164783"/>
    <w:rsid w:val="68993147"/>
    <w:rsid w:val="692844CB"/>
    <w:rsid w:val="696C26FE"/>
    <w:rsid w:val="69847953"/>
    <w:rsid w:val="69957EAE"/>
    <w:rsid w:val="69D75139"/>
    <w:rsid w:val="6A162806"/>
    <w:rsid w:val="6A2B7DCF"/>
    <w:rsid w:val="6A4A5F0E"/>
    <w:rsid w:val="6A9C0B2A"/>
    <w:rsid w:val="6BCD4040"/>
    <w:rsid w:val="6BF70432"/>
    <w:rsid w:val="6C42275F"/>
    <w:rsid w:val="6C686BE9"/>
    <w:rsid w:val="6C803E37"/>
    <w:rsid w:val="6CB610AF"/>
    <w:rsid w:val="6CC4450B"/>
    <w:rsid w:val="6D0C2A35"/>
    <w:rsid w:val="6D697741"/>
    <w:rsid w:val="6D875C64"/>
    <w:rsid w:val="6DF21E6F"/>
    <w:rsid w:val="6E0412CE"/>
    <w:rsid w:val="6E645FA5"/>
    <w:rsid w:val="6E6E4249"/>
    <w:rsid w:val="6E8D7E4B"/>
    <w:rsid w:val="6EA840E4"/>
    <w:rsid w:val="6F1943A2"/>
    <w:rsid w:val="6F5C0A2B"/>
    <w:rsid w:val="6FF730A4"/>
    <w:rsid w:val="70C60851"/>
    <w:rsid w:val="70D00C51"/>
    <w:rsid w:val="7174767A"/>
    <w:rsid w:val="72387E01"/>
    <w:rsid w:val="726D0A15"/>
    <w:rsid w:val="726E5E99"/>
    <w:rsid w:val="728C7879"/>
    <w:rsid w:val="736B748E"/>
    <w:rsid w:val="73942E89"/>
    <w:rsid w:val="73AF6F35"/>
    <w:rsid w:val="73BA22F0"/>
    <w:rsid w:val="73F531FC"/>
    <w:rsid w:val="74183B40"/>
    <w:rsid w:val="747A5CA6"/>
    <w:rsid w:val="7497260F"/>
    <w:rsid w:val="74D6330C"/>
    <w:rsid w:val="74DD0BDD"/>
    <w:rsid w:val="75CA2B92"/>
    <w:rsid w:val="75D67789"/>
    <w:rsid w:val="765A13AA"/>
    <w:rsid w:val="76D94AED"/>
    <w:rsid w:val="778E4093"/>
    <w:rsid w:val="77C27899"/>
    <w:rsid w:val="77E912C9"/>
    <w:rsid w:val="784A7A87"/>
    <w:rsid w:val="78C80EDF"/>
    <w:rsid w:val="790B1E41"/>
    <w:rsid w:val="79607369"/>
    <w:rsid w:val="79A80E33"/>
    <w:rsid w:val="79D722DB"/>
    <w:rsid w:val="7A0B7864"/>
    <w:rsid w:val="7A7C01D3"/>
    <w:rsid w:val="7A7C4677"/>
    <w:rsid w:val="7A7D2E2B"/>
    <w:rsid w:val="7A885852"/>
    <w:rsid w:val="7B0D0B13"/>
    <w:rsid w:val="7B207941"/>
    <w:rsid w:val="7B231095"/>
    <w:rsid w:val="7B3A65DD"/>
    <w:rsid w:val="7C452342"/>
    <w:rsid w:val="7CBE516E"/>
    <w:rsid w:val="7D0746CC"/>
    <w:rsid w:val="7DF10ED8"/>
    <w:rsid w:val="7E9C7095"/>
    <w:rsid w:val="7EEF14E8"/>
    <w:rsid w:val="7F183CAE"/>
    <w:rsid w:val="7F4475EB"/>
    <w:rsid w:val="7F47540D"/>
    <w:rsid w:val="7F674330"/>
    <w:rsid w:val="7F706A56"/>
    <w:rsid w:val="7FCF0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297"/>
    <w:autoRedefine/>
    <w:qFormat/>
    <w:uiPriority w:val="0"/>
    <w:pPr>
      <w:keepNext/>
      <w:snapToGrid w:val="0"/>
      <w:spacing w:line="360" w:lineRule="atLeast"/>
      <w:outlineLvl w:val="0"/>
    </w:pPr>
    <w:rPr>
      <w:rFonts w:ascii="宋体"/>
    </w:rPr>
  </w:style>
  <w:style w:type="paragraph" w:styleId="5">
    <w:name w:val="heading 2"/>
    <w:basedOn w:val="1"/>
    <w:next w:val="1"/>
    <w:link w:val="298"/>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99"/>
    <w:qFormat/>
    <w:uiPriority w:val="0"/>
    <w:pPr>
      <w:keepNext/>
      <w:keepLines/>
      <w:spacing w:before="260" w:after="260" w:line="413" w:lineRule="auto"/>
      <w:outlineLvl w:val="2"/>
    </w:pPr>
    <w:rPr>
      <w:b/>
      <w:sz w:val="32"/>
    </w:rPr>
  </w:style>
  <w:style w:type="paragraph" w:styleId="7">
    <w:name w:val="heading 4"/>
    <w:basedOn w:val="1"/>
    <w:next w:val="1"/>
    <w:link w:val="300"/>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30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30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30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30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305"/>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6"/>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306"/>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07"/>
    <w:qFormat/>
    <w:uiPriority w:val="0"/>
    <w:pPr>
      <w:adjustRightInd w:val="0"/>
      <w:spacing w:line="360" w:lineRule="atLeast"/>
      <w:jc w:val="left"/>
      <w:textAlignment w:val="baseline"/>
    </w:pPr>
    <w:rPr>
      <w:kern w:val="0"/>
      <w:sz w:val="24"/>
    </w:rPr>
  </w:style>
  <w:style w:type="paragraph" w:styleId="22">
    <w:name w:val="Salutation"/>
    <w:basedOn w:val="1"/>
    <w:next w:val="1"/>
    <w:link w:val="308"/>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link w:val="309"/>
    <w:autoRedefine/>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link w:val="310"/>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311"/>
    <w:qFormat/>
    <w:uiPriority w:val="0"/>
  </w:style>
  <w:style w:type="paragraph" w:styleId="35">
    <w:name w:val="Body Text Indent 2"/>
    <w:basedOn w:val="1"/>
    <w:link w:val="312"/>
    <w:qFormat/>
    <w:uiPriority w:val="0"/>
    <w:pPr>
      <w:snapToGrid w:val="0"/>
      <w:spacing w:line="560" w:lineRule="atLeast"/>
      <w:ind w:firstLine="540"/>
    </w:pPr>
  </w:style>
  <w:style w:type="paragraph" w:styleId="36">
    <w:name w:val="Balloon Text"/>
    <w:basedOn w:val="1"/>
    <w:link w:val="313"/>
    <w:autoRedefine/>
    <w:qFormat/>
    <w:uiPriority w:val="0"/>
    <w:rPr>
      <w:sz w:val="18"/>
    </w:rPr>
  </w:style>
  <w:style w:type="paragraph" w:styleId="37">
    <w:name w:val="footer"/>
    <w:basedOn w:val="1"/>
    <w:link w:val="314"/>
    <w:qFormat/>
    <w:uiPriority w:val="99"/>
    <w:pPr>
      <w:tabs>
        <w:tab w:val="center" w:pos="4153"/>
        <w:tab w:val="right" w:pos="8306"/>
      </w:tabs>
      <w:snapToGrid w:val="0"/>
      <w:jc w:val="left"/>
    </w:pPr>
    <w:rPr>
      <w:sz w:val="18"/>
    </w:rPr>
  </w:style>
  <w:style w:type="paragraph" w:styleId="38">
    <w:name w:val="header"/>
    <w:basedOn w:val="1"/>
    <w:link w:val="3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link w:val="316"/>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317"/>
    <w:qFormat/>
    <w:uiPriority w:val="0"/>
    <w:pPr>
      <w:spacing w:line="360" w:lineRule="auto"/>
    </w:pPr>
    <w:rPr>
      <w:sz w:val="18"/>
    </w:rPr>
  </w:style>
  <w:style w:type="paragraph" w:styleId="44">
    <w:name w:val="toc 6"/>
    <w:basedOn w:val="1"/>
    <w:next w:val="1"/>
    <w:autoRedefine/>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318"/>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link w:val="319"/>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sz w:val="24"/>
    </w:rPr>
  </w:style>
  <w:style w:type="paragraph" w:styleId="59">
    <w:name w:val="Body Text First Indent 2"/>
    <w:basedOn w:val="25"/>
    <w:link w:val="320"/>
    <w:qFormat/>
    <w:uiPriority w:val="0"/>
    <w:pPr>
      <w:spacing w:after="120" w:line="240" w:lineRule="auto"/>
      <w:ind w:left="200" w:leftChars="200" w:firstLine="200" w:firstLineChars="200"/>
    </w:pPr>
  </w:style>
  <w:style w:type="table" w:styleId="61">
    <w:name w:val="Table Grid"/>
    <w:basedOn w:val="6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qFormat/>
    <w:uiPriority w:val="0"/>
    <w:rPr>
      <w:rFonts w:eastAsia="宋体"/>
      <w:kern w:val="2"/>
      <w:sz w:val="21"/>
      <w:lang w:val="en-US" w:eastAsia="zh-CN"/>
    </w:rPr>
  </w:style>
  <w:style w:type="character" w:customStyle="1" w:styleId="73">
    <w:name w:val="正文文本缩进 Char"/>
    <w:qFormat/>
    <w:uiPriority w:val="0"/>
    <w:rPr>
      <w:kern w:val="2"/>
      <w:sz w:val="44"/>
    </w:rPr>
  </w:style>
  <w:style w:type="character" w:customStyle="1" w:styleId="74">
    <w:name w:val="日期 字符1"/>
    <w:qFormat/>
    <w:uiPriority w:val="0"/>
    <w:rPr>
      <w:rFonts w:ascii="Times New Roman" w:hAnsi="Times New Roman" w:eastAsia="宋体" w:cs="Times New Roman"/>
      <w:kern w:val="2"/>
      <w:sz w:val="28"/>
    </w:rPr>
  </w:style>
  <w:style w:type="character" w:customStyle="1" w:styleId="75">
    <w:name w:val="H2 Char"/>
    <w:qFormat/>
    <w:uiPriority w:val="0"/>
    <w:rPr>
      <w:rFonts w:ascii="Arial" w:hAnsi="Arial" w:eastAsia="宋体"/>
      <w:kern w:val="2"/>
      <w:sz w:val="28"/>
      <w:lang w:val="en-US" w:eastAsia="zh-CN"/>
    </w:rPr>
  </w:style>
  <w:style w:type="character" w:customStyle="1" w:styleId="76">
    <w:name w:val="无"/>
    <w:qFormat/>
    <w:uiPriority w:val="0"/>
    <w:rPr>
      <w:rFonts w:ascii="Times New Roman" w:hAnsi="Times New Roman" w:eastAsia="宋体" w:cs="Times New Roman"/>
    </w:rPr>
  </w:style>
  <w:style w:type="character" w:customStyle="1" w:styleId="77">
    <w:name w:val="日期 Char"/>
    <w:qFormat/>
    <w:uiPriority w:val="0"/>
    <w:rPr>
      <w:kern w:val="2"/>
      <w:sz w:val="28"/>
    </w:rPr>
  </w:style>
  <w:style w:type="paragraph" w:customStyle="1" w:styleId="78">
    <w:name w:val="(符号)五标题1.1.1"/>
    <w:basedOn w:val="1"/>
    <w:link w:val="335"/>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qFormat/>
    <w:uiPriority w:val="0"/>
    <w:rPr>
      <w:rFonts w:eastAsia="宋体"/>
      <w:b/>
      <w:kern w:val="2"/>
      <w:sz w:val="32"/>
      <w:lang w:val="en-US" w:eastAsia="zh-CN"/>
    </w:rPr>
  </w:style>
  <w:style w:type="character" w:customStyle="1" w:styleId="80">
    <w:name w:val="标题 3 字符1"/>
    <w:qFormat/>
    <w:uiPriority w:val="0"/>
    <w:rPr>
      <w:rFonts w:eastAsia="宋体"/>
      <w:b/>
      <w:kern w:val="2"/>
      <w:sz w:val="32"/>
      <w:lang w:val="en-US" w:eastAsia="zh-CN"/>
    </w:rPr>
  </w:style>
  <w:style w:type="character" w:customStyle="1" w:styleId="81">
    <w:name w:val="未命名11"/>
    <w:qFormat/>
    <w:uiPriority w:val="0"/>
    <w:rPr>
      <w:color w:val="77FFFF"/>
      <w:sz w:val="24"/>
    </w:rPr>
  </w:style>
  <w:style w:type="character" w:customStyle="1" w:styleId="82">
    <w:name w:val="小 Char"/>
    <w:qFormat/>
    <w:uiPriority w:val="0"/>
    <w:rPr>
      <w:rFonts w:ascii="宋体" w:eastAsia="宋体"/>
      <w:kern w:val="2"/>
      <w:sz w:val="21"/>
      <w:lang w:val="en-US" w:eastAsia="zh-CN" w:bidi="ar-SA"/>
    </w:rPr>
  </w:style>
  <w:style w:type="paragraph" w:customStyle="1" w:styleId="83">
    <w:name w:val="Table Text Char Char Char"/>
    <w:link w:val="33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ascii="Arial" w:hAnsi="Arial"/>
      <w:b/>
      <w:sz w:val="20"/>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缩进 字符1"/>
    <w:qFormat/>
    <w:locked/>
    <w:uiPriority w:val="0"/>
    <w:rPr>
      <w:kern w:val="2"/>
      <w:sz w:val="44"/>
    </w:rPr>
  </w:style>
  <w:style w:type="character" w:customStyle="1" w:styleId="89">
    <w:name w:val="样式 宋体"/>
    <w:qFormat/>
    <w:uiPriority w:val="0"/>
    <w:rPr>
      <w:rFonts w:ascii="宋体" w:eastAsia="宋体"/>
      <w:sz w:val="28"/>
    </w:rPr>
  </w:style>
  <w:style w:type="character" w:customStyle="1" w:styleId="90">
    <w:name w:val="标题 2 字符1"/>
    <w:qFormat/>
    <w:uiPriority w:val="0"/>
    <w:rPr>
      <w:rFonts w:ascii="宋体" w:eastAsia="宋体" w:cs="Times New Roman"/>
      <w:kern w:val="2"/>
      <w:sz w:val="28"/>
    </w:rPr>
  </w:style>
  <w:style w:type="character" w:customStyle="1" w:styleId="91">
    <w:name w:val="Char Char5"/>
    <w:qFormat/>
    <w:uiPriority w:val="0"/>
    <w:rPr>
      <w:rFonts w:ascii="Arial" w:hAnsi="Arial" w:eastAsia="宋体"/>
      <w:b/>
      <w:smallCaps/>
      <w:kern w:val="28"/>
      <w:sz w:val="36"/>
      <w:lang w:val="en-US"/>
    </w:rPr>
  </w:style>
  <w:style w:type="paragraph" w:styleId="92">
    <w:name w:val="List Paragraph"/>
    <w:basedOn w:val="1"/>
    <w:link w:val="331"/>
    <w:qFormat/>
    <w:uiPriority w:val="0"/>
    <w:pPr>
      <w:ind w:firstLine="200" w:firstLineChars="200"/>
    </w:pPr>
    <w:rPr>
      <w:sz w:val="21"/>
      <w:szCs w:val="22"/>
    </w:rPr>
  </w:style>
  <w:style w:type="character" w:customStyle="1" w:styleId="93">
    <w:name w:val="Char Char2"/>
    <w:qFormat/>
    <w:uiPriority w:val="0"/>
    <w:rPr>
      <w:rFonts w:eastAsia="宋体"/>
      <w:kern w:val="2"/>
      <w:sz w:val="18"/>
      <w:lang w:val="en-US" w:eastAsia="zh-CN"/>
    </w:rPr>
  </w:style>
  <w:style w:type="character" w:customStyle="1" w:styleId="94">
    <w:name w:val="标题 2 Char"/>
    <w:qFormat/>
    <w:uiPriority w:val="0"/>
    <w:rPr>
      <w:rFonts w:ascii="Arial" w:hAnsi="Arial" w:eastAsia="黑体"/>
      <w:b/>
      <w:kern w:val="2"/>
      <w:sz w:val="32"/>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content-white1"/>
    <w:qFormat/>
    <w:uiPriority w:val="0"/>
    <w:rPr>
      <w:rFonts w:ascii="_x000B__x000C_" w:hAnsi="_x000B__x000C_"/>
      <w:color w:val="auto"/>
      <w:sz w:val="18"/>
      <w:u w:val="none"/>
    </w:rPr>
  </w:style>
  <w:style w:type="character" w:customStyle="1" w:styleId="98">
    <w:name w:val="fontstyle01"/>
    <w:qFormat/>
    <w:uiPriority w:val="0"/>
    <w:rPr>
      <w:rFonts w:ascii="宋体" w:eastAsia="宋体"/>
      <w:color w:val="000000"/>
      <w:sz w:val="24"/>
      <w:szCs w:val="24"/>
    </w:rPr>
  </w:style>
  <w:style w:type="character" w:customStyle="1" w:styleId="99">
    <w:name w:val="Char Char7"/>
    <w:qFormat/>
    <w:uiPriority w:val="0"/>
    <w:rPr>
      <w:rFonts w:ascii="宋体" w:eastAsia="宋体"/>
      <w:kern w:val="2"/>
      <w:sz w:val="28"/>
    </w:rPr>
  </w:style>
  <w:style w:type="character" w:customStyle="1" w:styleId="100">
    <w:name w:val="标题 3 Char"/>
    <w:qFormat/>
    <w:uiPriority w:val="0"/>
    <w:rPr>
      <w:rFonts w:eastAsia="宋体"/>
      <w:b/>
      <w:kern w:val="2"/>
      <w:sz w:val="32"/>
      <w:lang w:val="en-US" w:eastAsia="zh-CN"/>
    </w:rPr>
  </w:style>
  <w:style w:type="character" w:customStyle="1" w:styleId="101">
    <w:name w:val="crowed11"/>
    <w:qFormat/>
    <w:uiPriority w:val="0"/>
    <w:rPr>
      <w:rFonts w:ascii="_x000B__x000C_" w:hAnsi="_x000B__x000C_"/>
      <w:sz w:val="24"/>
    </w:rPr>
  </w:style>
  <w:style w:type="paragraph" w:customStyle="1" w:styleId="102">
    <w:name w:val="文字"/>
    <w:basedOn w:val="1"/>
    <w:link w:val="324"/>
    <w:qFormat/>
    <w:uiPriority w:val="0"/>
    <w:pPr>
      <w:tabs>
        <w:tab w:val="left" w:pos="8520"/>
      </w:tabs>
      <w:spacing w:line="312" w:lineRule="auto"/>
      <w:ind w:right="-210" w:firstLine="556"/>
    </w:pPr>
    <w:rPr>
      <w:rFonts w:ascii="宋体"/>
    </w:rPr>
  </w:style>
  <w:style w:type="character" w:customStyle="1" w:styleId="103">
    <w:name w:val="Char Char3"/>
    <w:qFormat/>
    <w:uiPriority w:val="0"/>
    <w:rPr>
      <w:rFonts w:eastAsia="宋体"/>
      <w:kern w:val="2"/>
      <w:sz w:val="18"/>
      <w:lang w:val="en-US" w:eastAsia="zh-CN"/>
    </w:rPr>
  </w:style>
  <w:style w:type="character" w:customStyle="1" w:styleId="104">
    <w:name w:val="font1"/>
    <w:qFormat/>
    <w:uiPriority w:val="0"/>
    <w:rPr>
      <w:color w:val="000000"/>
      <w:sz w:val="18"/>
    </w:rPr>
  </w:style>
  <w:style w:type="character" w:customStyle="1" w:styleId="105">
    <w:name w:val="v151"/>
    <w:qFormat/>
    <w:uiPriority w:val="0"/>
    <w:rPr>
      <w:sz w:val="18"/>
    </w:rPr>
  </w:style>
  <w:style w:type="character" w:customStyle="1" w:styleId="106">
    <w:name w:val="Char Char11"/>
    <w:qFormat/>
    <w:uiPriority w:val="0"/>
    <w:rPr>
      <w:rFonts w:ascii="宋体"/>
      <w:kern w:val="2"/>
      <w:sz w:val="28"/>
    </w:rPr>
  </w:style>
  <w:style w:type="character" w:customStyle="1" w:styleId="107">
    <w:name w:val="Char Char"/>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5"/>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5"/>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6"/>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7"/>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2"/>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7"/>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autoRedefine/>
    <w:qFormat/>
    <w:uiPriority w:val="0"/>
    <w:pPr>
      <w:tabs>
        <w:tab w:val="left" w:pos="1304"/>
      </w:tabs>
      <w:ind w:left="425" w:hanging="425"/>
      <w:outlineLvl w:val="0"/>
    </w:pPr>
    <w:rPr>
      <w:rFonts w:ascii="黑体" w:eastAsia="黑体"/>
      <w:b/>
      <w:sz w:val="44"/>
    </w:rPr>
  </w:style>
  <w:style w:type="paragraph" w:customStyle="1" w:styleId="180">
    <w:name w:val="样式2"/>
    <w:basedOn w:val="7"/>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9"/>
    <w:qFormat/>
    <w:uiPriority w:val="0"/>
    <w:rPr>
      <w:rFonts w:ascii="Tahoma" w:hAnsi="Tahoma"/>
      <w:sz w:val="24"/>
    </w:rPr>
  </w:style>
  <w:style w:type="paragraph" w:customStyle="1" w:styleId="184">
    <w:name w:val="1"/>
    <w:basedOn w:val="1"/>
    <w:next w:val="32"/>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9"/>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3">
    <w:name w:val="文本1"/>
    <w:basedOn w:val="1"/>
    <w:qFormat/>
    <w:uiPriority w:val="0"/>
    <w:pPr>
      <w:adjustRightInd w:val="0"/>
      <w:spacing w:line="312" w:lineRule="atLeast"/>
      <w:jc w:val="center"/>
      <w:textAlignment w:val="baseline"/>
    </w:pPr>
    <w:rPr>
      <w:kern w:val="0"/>
      <w:sz w:val="18"/>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可研正文"/>
    <w:basedOn w:val="2"/>
    <w:qFormat/>
    <w:uiPriority w:val="0"/>
    <w:pPr>
      <w:adjustRightInd w:val="0"/>
      <w:snapToGrid w:val="0"/>
      <w:spacing w:line="440" w:lineRule="exact"/>
      <w:ind w:firstLine="567"/>
    </w:pPr>
    <w:rPr>
      <w:sz w:val="28"/>
    </w:rPr>
  </w:style>
  <w:style w:type="paragraph" w:customStyle="1" w:styleId="237">
    <w:name w:val="编号正文"/>
    <w:basedOn w:val="201"/>
    <w:qFormat/>
    <w:uiPriority w:val="0"/>
    <w:pPr>
      <w:snapToGrid/>
      <w:spacing w:line="360" w:lineRule="auto"/>
      <w:ind w:left="1407" w:hanging="1047"/>
      <w:jc w:val="left"/>
    </w:pPr>
    <w:rPr>
      <w:rFonts w:eastAsia="仿宋_GB2312"/>
    </w:rPr>
  </w:style>
  <w:style w:type="paragraph" w:customStyle="1" w:styleId="238">
    <w:name w:val="正文表格"/>
    <w:basedOn w:val="1"/>
    <w:qFormat/>
    <w:uiPriority w:val="0"/>
    <w:pPr>
      <w:adjustRightInd w:val="0"/>
      <w:spacing w:before="40" w:after="40"/>
    </w:pPr>
    <w:rPr>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qFormat/>
    <w:uiPriority w:val="0"/>
    <w:pPr>
      <w:spacing w:before="60" w:after="60" w:line="360" w:lineRule="auto"/>
      <w:ind w:left="200" w:leftChars="200" w:firstLine="200" w:firstLineChars="200"/>
    </w:pPr>
    <w:rPr>
      <w:sz w:val="24"/>
    </w:rPr>
  </w:style>
  <w:style w:type="paragraph" w:customStyle="1" w:styleId="241">
    <w:name w:val="样式4"/>
    <w:basedOn w:val="7"/>
    <w:qFormat/>
    <w:uiPriority w:val="0"/>
    <w:pPr>
      <w:adjustRightInd w:val="0"/>
      <w:snapToGrid w:val="0"/>
    </w:pPr>
  </w:style>
  <w:style w:type="paragraph" w:customStyle="1" w:styleId="24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qFormat/>
    <w:uiPriority w:val="0"/>
    <w:pPr>
      <w:adjustRightInd w:val="0"/>
      <w:jc w:val="left"/>
    </w:pPr>
    <w:rPr>
      <w:rFonts w:ascii="宋体"/>
      <w:kern w:val="0"/>
      <w:sz w:val="21"/>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qFormat/>
    <w:uiPriority w:val="0"/>
    <w:rPr>
      <w:rFonts w:ascii="Tahoma" w:hAnsi="Tahoma"/>
      <w:sz w:val="24"/>
    </w:rPr>
  </w:style>
  <w:style w:type="paragraph" w:customStyle="1" w:styleId="24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qFormat/>
    <w:uiPriority w:val="0"/>
    <w:pPr>
      <w:snapToGrid w:val="0"/>
    </w:pPr>
    <w:rPr>
      <w:sz w:val="21"/>
    </w:rPr>
  </w:style>
  <w:style w:type="paragraph" w:customStyle="1" w:styleId="249">
    <w:name w:val="正文缩进_0"/>
    <w:basedOn w:val="1"/>
    <w:qFormat/>
    <w:uiPriority w:val="0"/>
    <w:pPr>
      <w:ind w:firstLine="420"/>
    </w:pPr>
    <w:rPr>
      <w:rFonts w:ascii="Times New Roman" w:hAnsi="Times New Roman" w:eastAsia="Times New Roman"/>
      <w:kern w:val="0"/>
      <w:sz w:val="24"/>
      <w:szCs w:val="24"/>
    </w:rPr>
  </w:style>
  <w:style w:type="character" w:customStyle="1" w:styleId="250">
    <w:name w:val="正文缩进 字符"/>
    <w:qFormat/>
    <w:uiPriority w:val="0"/>
    <w:rPr>
      <w:kern w:val="2"/>
      <w:sz w:val="24"/>
    </w:rPr>
  </w:style>
  <w:style w:type="character" w:customStyle="1" w:styleId="251">
    <w:name w:val="批注文字 字符"/>
    <w:qFormat/>
    <w:uiPriority w:val="0"/>
    <w:rPr>
      <w:sz w:val="24"/>
    </w:rPr>
  </w:style>
  <w:style w:type="character" w:customStyle="1" w:styleId="252">
    <w:name w:val="正文文本缩进 字符"/>
    <w:qFormat/>
    <w:uiPriority w:val="0"/>
    <w:rPr>
      <w:kern w:val="2"/>
      <w:sz w:val="44"/>
    </w:rPr>
  </w:style>
  <w:style w:type="character" w:customStyle="1" w:styleId="253">
    <w:name w:val="正文文本缩进 2 字符"/>
    <w:qFormat/>
    <w:uiPriority w:val="0"/>
    <w:rPr>
      <w:kern w:val="2"/>
      <w:sz w:val="28"/>
    </w:rPr>
  </w:style>
  <w:style w:type="character" w:customStyle="1" w:styleId="254">
    <w:name w:val="脚注文本 字符"/>
    <w:qFormat/>
    <w:uiPriority w:val="0"/>
    <w:rPr>
      <w:kern w:val="2"/>
      <w:sz w:val="18"/>
    </w:rPr>
  </w:style>
  <w:style w:type="character" w:customStyle="1" w:styleId="255">
    <w:name w:val="批注主题 字符"/>
    <w:qFormat/>
    <w:uiPriority w:val="0"/>
  </w:style>
  <w:style w:type="character" w:customStyle="1" w:styleId="256">
    <w:name w:val="正文文本首行缩进 2 字符"/>
    <w:qFormat/>
    <w:uiPriority w:val="0"/>
  </w:style>
  <w:style w:type="character" w:customStyle="1" w:styleId="257">
    <w:name w:val="批注文字 字符1"/>
    <w:qFormat/>
    <w:uiPriority w:val="99"/>
    <w:rPr>
      <w:rFonts w:ascii="Times New Roman" w:hAnsi="Times New Roman" w:eastAsia="宋体" w:cs="Times New Roman"/>
      <w:sz w:val="28"/>
      <w:szCs w:val="20"/>
    </w:rPr>
  </w:style>
  <w:style w:type="character" w:customStyle="1" w:styleId="258">
    <w:name w:val="NormalCharacter"/>
    <w:qFormat/>
    <w:uiPriority w:val="0"/>
  </w:style>
  <w:style w:type="character" w:customStyle="1" w:styleId="259">
    <w:name w:val="日期 字符"/>
    <w:qFormat/>
    <w:uiPriority w:val="0"/>
    <w:rPr>
      <w:kern w:val="2"/>
      <w:sz w:val="28"/>
    </w:rPr>
  </w:style>
  <w:style w:type="character" w:customStyle="1" w:styleId="260">
    <w:name w:val="标题 2 字符"/>
    <w:qFormat/>
    <w:uiPriority w:val="0"/>
    <w:rPr>
      <w:rFonts w:ascii="Arial" w:hAnsi="Arial" w:eastAsia="黑体"/>
      <w:b/>
      <w:kern w:val="2"/>
      <w:sz w:val="32"/>
    </w:rPr>
  </w:style>
  <w:style w:type="character" w:customStyle="1" w:styleId="261">
    <w:name w:val="列表段落 字符"/>
    <w:qFormat/>
    <w:uiPriority w:val="0"/>
    <w:rPr>
      <w:rFonts w:ascii="Calibri" w:hAnsi="Calibri"/>
      <w:kern w:val="2"/>
      <w:sz w:val="21"/>
      <w:szCs w:val="22"/>
    </w:rPr>
  </w:style>
  <w:style w:type="character" w:customStyle="1" w:styleId="262">
    <w:name w:val="标题 3 字符"/>
    <w:qFormat/>
    <w:uiPriority w:val="0"/>
    <w:rPr>
      <w:b/>
      <w:kern w:val="2"/>
      <w:sz w:val="32"/>
    </w:rPr>
  </w:style>
  <w:style w:type="paragraph" w:customStyle="1" w:styleId="263">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qFormat/>
    <w:uiPriority w:val="0"/>
    <w:rPr>
      <w:rFonts w:ascii="仿宋_GB2312" w:eastAsia="仿宋_GB2312"/>
      <w:kern w:val="2"/>
      <w:sz w:val="32"/>
    </w:rPr>
  </w:style>
  <w:style w:type="character" w:customStyle="1" w:styleId="265">
    <w:name w:val="font01"/>
    <w:qFormat/>
    <w:uiPriority w:val="0"/>
    <w:rPr>
      <w:rFonts w:ascii="Times New Roman" w:hAnsi="Times New Roman" w:cs="Times New Roman"/>
      <w:color w:val="000000"/>
      <w:sz w:val="18"/>
      <w:szCs w:val="18"/>
      <w:u w:val="none"/>
    </w:rPr>
  </w:style>
  <w:style w:type="character" w:customStyle="1" w:styleId="266">
    <w:name w:val="font11"/>
    <w:qFormat/>
    <w:uiPriority w:val="0"/>
    <w:rPr>
      <w:rFonts w:ascii="宋体" w:eastAsia="宋体" w:cs="宋体"/>
      <w:b/>
      <w:color w:val="000000"/>
      <w:sz w:val="18"/>
      <w:szCs w:val="18"/>
      <w:u w:val="none"/>
    </w:rPr>
  </w:style>
  <w:style w:type="character" w:customStyle="1" w:styleId="267">
    <w:name w:val="font61"/>
    <w:qFormat/>
    <w:uiPriority w:val="0"/>
    <w:rPr>
      <w:rFonts w:ascii="宋体" w:eastAsia="宋体" w:cs="宋体"/>
      <w:color w:val="000000"/>
      <w:sz w:val="20"/>
      <w:szCs w:val="20"/>
      <w:u w:val="none"/>
    </w:rPr>
  </w:style>
  <w:style w:type="character" w:customStyle="1" w:styleId="268">
    <w:name w:val="文字 Char Char"/>
    <w:qFormat/>
    <w:locked/>
    <w:uiPriority w:val="0"/>
    <w:rPr>
      <w:rFonts w:ascii="宋体" w:eastAsia="宋体"/>
      <w:sz w:val="28"/>
    </w:rPr>
  </w:style>
  <w:style w:type="character" w:customStyle="1" w:styleId="269">
    <w:name w:val="font81"/>
    <w:qFormat/>
    <w:uiPriority w:val="0"/>
    <w:rPr>
      <w:rFonts w:ascii="宋体" w:eastAsia="宋体" w:cs="宋体"/>
      <w:color w:val="000000"/>
      <w:sz w:val="18"/>
      <w:szCs w:val="18"/>
      <w:u w:val="none"/>
    </w:rPr>
  </w:style>
  <w:style w:type="character" w:customStyle="1" w:styleId="270">
    <w:name w:val="Char Char Char Char Char Char Char Char Char"/>
    <w:qFormat/>
    <w:uiPriority w:val="0"/>
    <w:rPr>
      <w:rFonts w:ascii="宋体" w:eastAsia="宋体"/>
      <w:kern w:val="2"/>
      <w:sz w:val="24"/>
      <w:lang w:val="en-US" w:eastAsia="zh-CN" w:bidi="ar-SA"/>
    </w:rPr>
  </w:style>
  <w:style w:type="character" w:customStyle="1" w:styleId="271">
    <w:name w:val="fontstyle11"/>
    <w:qFormat/>
    <w:uiPriority w:val="0"/>
    <w:rPr>
      <w:rFonts w:ascii="FrutigerNextLT-Light" w:hAnsi="FrutigerNextLT-Light"/>
      <w:color w:val="000000"/>
      <w:sz w:val="18"/>
      <w:szCs w:val="18"/>
    </w:rPr>
  </w:style>
  <w:style w:type="character" w:customStyle="1" w:styleId="272">
    <w:name w:val="font31"/>
    <w:qFormat/>
    <w:uiPriority w:val="0"/>
    <w:rPr>
      <w:rFonts w:ascii="宋体" w:eastAsia="宋体" w:cs="宋体"/>
      <w:color w:val="000000"/>
      <w:sz w:val="18"/>
      <w:szCs w:val="18"/>
      <w:u w:val="none"/>
    </w:rPr>
  </w:style>
  <w:style w:type="character" w:customStyle="1" w:styleId="273">
    <w:name w:val="font21"/>
    <w:qFormat/>
    <w:uiPriority w:val="0"/>
    <w:rPr>
      <w:rFonts w:ascii="宋体" w:eastAsia="宋体" w:cs="宋体"/>
      <w:color w:val="000000"/>
      <w:sz w:val="18"/>
      <w:szCs w:val="18"/>
      <w:u w:val="none"/>
    </w:rPr>
  </w:style>
  <w:style w:type="character" w:customStyle="1" w:styleId="274">
    <w:name w:val="副标题 Char"/>
    <w:qFormat/>
    <w:uiPriority w:val="0"/>
    <w:rPr>
      <w:rFonts w:ascii="Cambria" w:hAnsi="Cambria" w:eastAsia="宋体" w:cs="Times New Roman"/>
      <w:b/>
      <w:bCs/>
      <w:kern w:val="28"/>
      <w:sz w:val="32"/>
      <w:szCs w:val="32"/>
    </w:rPr>
  </w:style>
  <w:style w:type="paragraph" w:customStyle="1" w:styleId="275">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qFormat/>
    <w:uiPriority w:val="0"/>
    <w:pPr>
      <w:ind w:left="2524" w:hanging="397"/>
    </w:pPr>
    <w:rPr>
      <w:sz w:val="36"/>
      <w:szCs w:val="36"/>
    </w:rPr>
  </w:style>
  <w:style w:type="paragraph" w:customStyle="1" w:styleId="277">
    <w:name w:val="样式5"/>
    <w:basedOn w:val="1"/>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qFormat/>
    <w:uiPriority w:val="0"/>
    <w:pPr>
      <w:spacing w:beforeLines="50" w:afterLines="50" w:line="400" w:lineRule="atLeast"/>
    </w:pPr>
    <w:rPr>
      <w:rFonts w:ascii="宋体"/>
      <w:sz w:val="24"/>
    </w:rPr>
  </w:style>
  <w:style w:type="paragraph" w:customStyle="1" w:styleId="2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qFormat/>
    <w:uiPriority w:val="0"/>
    <w:rPr>
      <w:rFonts w:ascii="Times New Roman" w:hAnsi="Times New Roman"/>
    </w:rPr>
  </w:style>
  <w:style w:type="paragraph" w:customStyle="1" w:styleId="284">
    <w:name w:val="List Paragraph1"/>
    <w:basedOn w:val="1"/>
    <w:qFormat/>
    <w:uiPriority w:val="99"/>
    <w:pPr>
      <w:ind w:firstLine="200" w:firstLineChars="200"/>
    </w:pPr>
    <w:rPr>
      <w:sz w:val="21"/>
      <w:szCs w:val="22"/>
    </w:rPr>
  </w:style>
  <w:style w:type="paragraph" w:customStyle="1" w:styleId="285">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qFormat/>
    <w:uiPriority w:val="0"/>
    <w:rPr>
      <w:rFonts w:ascii="Times New Roman" w:hAnsi="Times New Roman" w:cs="Times New Roman"/>
      <w:sz w:val="24"/>
      <w:szCs w:val="24"/>
    </w:rPr>
  </w:style>
  <w:style w:type="paragraph" w:customStyle="1" w:styleId="288">
    <w:name w:val="列出段落2"/>
    <w:basedOn w:val="1"/>
    <w:qFormat/>
    <w:uiPriority w:val="0"/>
    <w:pPr>
      <w:ind w:firstLine="200" w:firstLineChars="200"/>
    </w:pPr>
    <w:rPr>
      <w:sz w:val="21"/>
      <w:szCs w:val="22"/>
    </w:rPr>
  </w:style>
  <w:style w:type="paragraph" w:styleId="2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4">
    <w:name w:val="页眉 Char"/>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字符1"/>
    <w:link w:val="2"/>
    <w:qFormat/>
    <w:uiPriority w:val="0"/>
    <w:rPr>
      <w:rFonts w:ascii="仿宋_GB2312" w:hAnsi="Calibri" w:eastAsia="仿宋_GB2312"/>
      <w:kern w:val="2"/>
      <w:sz w:val="32"/>
    </w:rPr>
  </w:style>
  <w:style w:type="character" w:customStyle="1" w:styleId="297">
    <w:name w:val="标题 1 字符"/>
    <w:link w:val="4"/>
    <w:qFormat/>
    <w:uiPriority w:val="0"/>
    <w:rPr>
      <w:rFonts w:ascii="宋体" w:hAnsi="Calibri"/>
      <w:kern w:val="2"/>
      <w:sz w:val="28"/>
    </w:rPr>
  </w:style>
  <w:style w:type="character" w:customStyle="1" w:styleId="298">
    <w:name w:val="标题 2 字符2"/>
    <w:link w:val="5"/>
    <w:qFormat/>
    <w:uiPriority w:val="0"/>
    <w:rPr>
      <w:rFonts w:ascii="Arial" w:hAnsi="Arial" w:eastAsia="黑体"/>
      <w:b/>
      <w:kern w:val="2"/>
      <w:sz w:val="32"/>
    </w:rPr>
  </w:style>
  <w:style w:type="character" w:customStyle="1" w:styleId="299">
    <w:name w:val="标题 3 字符2"/>
    <w:link w:val="6"/>
    <w:qFormat/>
    <w:uiPriority w:val="0"/>
    <w:rPr>
      <w:rFonts w:ascii="Calibri" w:hAnsi="Calibri"/>
      <w:b/>
      <w:kern w:val="2"/>
      <w:sz w:val="32"/>
    </w:rPr>
  </w:style>
  <w:style w:type="character" w:customStyle="1" w:styleId="300">
    <w:name w:val="标题 4 字符"/>
    <w:link w:val="7"/>
    <w:qFormat/>
    <w:uiPriority w:val="0"/>
    <w:rPr>
      <w:rFonts w:ascii="Arial" w:hAnsi="Arial" w:eastAsia="黑体"/>
      <w:b/>
      <w:kern w:val="2"/>
      <w:sz w:val="28"/>
    </w:rPr>
  </w:style>
  <w:style w:type="character" w:customStyle="1" w:styleId="301">
    <w:name w:val="标题 5 字符"/>
    <w:link w:val="8"/>
    <w:qFormat/>
    <w:uiPriority w:val="0"/>
    <w:rPr>
      <w:rFonts w:ascii="Calibri" w:hAnsi="Calibri"/>
      <w:b/>
      <w:kern w:val="2"/>
      <w:sz w:val="28"/>
    </w:rPr>
  </w:style>
  <w:style w:type="character" w:customStyle="1" w:styleId="302">
    <w:name w:val="标题 6 字符"/>
    <w:link w:val="9"/>
    <w:qFormat/>
    <w:uiPriority w:val="0"/>
    <w:rPr>
      <w:rFonts w:ascii="Arial" w:hAnsi="Arial" w:eastAsia="黑体"/>
      <w:b/>
      <w:kern w:val="2"/>
      <w:sz w:val="24"/>
    </w:rPr>
  </w:style>
  <w:style w:type="character" w:customStyle="1" w:styleId="303">
    <w:name w:val="标题 7 字符"/>
    <w:link w:val="10"/>
    <w:qFormat/>
    <w:uiPriority w:val="0"/>
    <w:rPr>
      <w:rFonts w:ascii="Arial" w:hAnsi="Arial" w:eastAsia="黑体"/>
      <w:b/>
      <w:kern w:val="2"/>
      <w:sz w:val="24"/>
    </w:rPr>
  </w:style>
  <w:style w:type="character" w:customStyle="1" w:styleId="304">
    <w:name w:val="标题 8 字符"/>
    <w:link w:val="11"/>
    <w:qFormat/>
    <w:uiPriority w:val="0"/>
    <w:rPr>
      <w:rFonts w:ascii="Arial" w:hAnsi="Arial" w:eastAsia="黑体"/>
      <w:b/>
      <w:kern w:val="2"/>
      <w:sz w:val="24"/>
    </w:rPr>
  </w:style>
  <w:style w:type="character" w:customStyle="1" w:styleId="305">
    <w:name w:val="标题 9 字符"/>
    <w:link w:val="12"/>
    <w:qFormat/>
    <w:uiPriority w:val="0"/>
    <w:rPr>
      <w:rFonts w:ascii="Arial" w:hAnsi="Arial" w:eastAsia="黑体"/>
      <w:b/>
      <w:kern w:val="2"/>
      <w:sz w:val="24"/>
    </w:rPr>
  </w:style>
  <w:style w:type="character" w:customStyle="1" w:styleId="306">
    <w:name w:val="正文缩进 字符1"/>
    <w:link w:val="17"/>
    <w:qFormat/>
    <w:uiPriority w:val="0"/>
    <w:rPr>
      <w:rFonts w:ascii="Calibri" w:hAnsi="Calibri"/>
      <w:kern w:val="2"/>
      <w:sz w:val="24"/>
    </w:rPr>
  </w:style>
  <w:style w:type="character" w:customStyle="1" w:styleId="307">
    <w:name w:val="批注文字 字符2"/>
    <w:link w:val="21"/>
    <w:qFormat/>
    <w:uiPriority w:val="0"/>
    <w:rPr>
      <w:rFonts w:ascii="Calibri" w:hAnsi="Calibri"/>
      <w:sz w:val="24"/>
    </w:rPr>
  </w:style>
  <w:style w:type="character" w:customStyle="1" w:styleId="308">
    <w:name w:val="称呼 字符"/>
    <w:link w:val="22"/>
    <w:qFormat/>
    <w:uiPriority w:val="0"/>
    <w:rPr>
      <w:rFonts w:ascii="Calibri" w:hAnsi="Calibri"/>
      <w:sz w:val="18"/>
    </w:rPr>
  </w:style>
  <w:style w:type="character" w:customStyle="1" w:styleId="309">
    <w:name w:val="正文文本缩进 字符2"/>
    <w:link w:val="25"/>
    <w:qFormat/>
    <w:uiPriority w:val="0"/>
    <w:rPr>
      <w:rFonts w:ascii="Calibri" w:hAnsi="Calibri"/>
      <w:kern w:val="2"/>
      <w:sz w:val="44"/>
    </w:rPr>
  </w:style>
  <w:style w:type="character" w:customStyle="1" w:styleId="310">
    <w:name w:val="纯文本 字符"/>
    <w:link w:val="32"/>
    <w:qFormat/>
    <w:uiPriority w:val="0"/>
    <w:rPr>
      <w:rFonts w:ascii="宋体" w:hAnsi="Calibri"/>
      <w:kern w:val="2"/>
      <w:sz w:val="21"/>
    </w:rPr>
  </w:style>
  <w:style w:type="character" w:customStyle="1" w:styleId="311">
    <w:name w:val="日期 字符2"/>
    <w:link w:val="34"/>
    <w:qFormat/>
    <w:uiPriority w:val="0"/>
    <w:rPr>
      <w:rFonts w:ascii="Calibri" w:hAnsi="Calibri"/>
      <w:kern w:val="2"/>
      <w:sz w:val="28"/>
    </w:rPr>
  </w:style>
  <w:style w:type="character" w:customStyle="1" w:styleId="312">
    <w:name w:val="正文文本缩进 2 字符1"/>
    <w:link w:val="35"/>
    <w:qFormat/>
    <w:uiPriority w:val="0"/>
    <w:rPr>
      <w:rFonts w:ascii="Calibri" w:hAnsi="Calibri"/>
      <w:kern w:val="2"/>
      <w:sz w:val="28"/>
    </w:rPr>
  </w:style>
  <w:style w:type="character" w:customStyle="1" w:styleId="313">
    <w:name w:val="批注框文本 字符"/>
    <w:link w:val="36"/>
    <w:qFormat/>
    <w:uiPriority w:val="0"/>
    <w:rPr>
      <w:rFonts w:ascii="Calibri" w:hAnsi="Calibri"/>
      <w:kern w:val="2"/>
      <w:sz w:val="18"/>
    </w:rPr>
  </w:style>
  <w:style w:type="character" w:customStyle="1" w:styleId="314">
    <w:name w:val="页脚 字符"/>
    <w:link w:val="37"/>
    <w:qFormat/>
    <w:locked/>
    <w:uiPriority w:val="99"/>
    <w:rPr>
      <w:rFonts w:ascii="Calibri" w:hAnsi="Calibri"/>
      <w:kern w:val="2"/>
      <w:sz w:val="18"/>
    </w:rPr>
  </w:style>
  <w:style w:type="character" w:customStyle="1" w:styleId="315">
    <w:name w:val="页眉 字符"/>
    <w:link w:val="38"/>
    <w:qFormat/>
    <w:locked/>
    <w:uiPriority w:val="99"/>
    <w:rPr>
      <w:rFonts w:ascii="Calibri" w:hAnsi="Calibri"/>
      <w:kern w:val="2"/>
      <w:sz w:val="18"/>
    </w:rPr>
  </w:style>
  <w:style w:type="character" w:customStyle="1" w:styleId="316">
    <w:name w:val="副标题 字符"/>
    <w:link w:val="42"/>
    <w:qFormat/>
    <w:uiPriority w:val="0"/>
    <w:rPr>
      <w:rFonts w:ascii="Cambria" w:hAnsi="Cambria"/>
      <w:b/>
      <w:bCs/>
      <w:kern w:val="28"/>
      <w:sz w:val="32"/>
      <w:szCs w:val="32"/>
    </w:rPr>
  </w:style>
  <w:style w:type="character" w:customStyle="1" w:styleId="317">
    <w:name w:val="脚注文本 字符1"/>
    <w:link w:val="43"/>
    <w:qFormat/>
    <w:uiPriority w:val="0"/>
    <w:rPr>
      <w:rFonts w:ascii="Calibri" w:hAnsi="Calibri"/>
      <w:kern w:val="2"/>
      <w:sz w:val="18"/>
    </w:rPr>
  </w:style>
  <w:style w:type="character" w:customStyle="1" w:styleId="318">
    <w:name w:val="标题 字符"/>
    <w:link w:val="56"/>
    <w:qFormat/>
    <w:uiPriority w:val="0"/>
    <w:rPr>
      <w:rFonts w:ascii="Arial" w:hAnsi="Arial"/>
      <w:b/>
      <w:smallCaps/>
      <w:kern w:val="28"/>
      <w:sz w:val="36"/>
    </w:rPr>
  </w:style>
  <w:style w:type="character" w:customStyle="1" w:styleId="319">
    <w:name w:val="批注主题 字符1"/>
    <w:basedOn w:val="307"/>
    <w:link w:val="57"/>
    <w:qFormat/>
    <w:uiPriority w:val="0"/>
    <w:rPr>
      <w:rFonts w:ascii="Calibri" w:hAnsi="Calibri"/>
      <w:sz w:val="24"/>
    </w:rPr>
  </w:style>
  <w:style w:type="character" w:customStyle="1" w:styleId="320">
    <w:name w:val="正文文本首行缩进 2 字符1"/>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表段落 字符1"/>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15087</Words>
  <Characters>15769</Characters>
  <Lines>253</Lines>
  <Paragraphs>71</Paragraphs>
  <TotalTime>6</TotalTime>
  <ScaleCrop>false</ScaleCrop>
  <LinksUpToDate>false</LinksUpToDate>
  <CharactersWithSpaces>16167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2023-06-09T13:20:00Z</dcterms:created>
  <dc:creator>罗成</dc:creator>
  <cp:lastModifiedBy>周菲童</cp:lastModifiedBy>
  <cp:lastPrinted>2020-09-18T07:14:00Z</cp:lastPrinted>
  <dcterms:modified xsi:type="dcterms:W3CDTF">2024-12-16T09:59:52Z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FF8596A9917D4875B4463D559BB5D934_13</vt:lpwstr>
  </property>
</Properties>
</file>